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06" w:line="240" w:lineRule="auto"/>
        <w:jc w:val="center"/>
        <w:rPr>
          <w:rFonts w:hint="eastAsia" w:ascii="微软简标宋" w:hAnsi="微软简标宋" w:eastAsia="微软简标宋" w:cs="微软简标宋"/>
          <w:b/>
          <w:bCs/>
          <w:color w:val="0075BF"/>
          <w:sz w:val="44"/>
          <w:szCs w:val="44"/>
        </w:rPr>
      </w:pPr>
      <w:r>
        <w:rPr>
          <w:rFonts w:hint="eastAsia" w:ascii="微软简标宋" w:hAnsi="微软简标宋" w:eastAsia="微软简标宋" w:cs="微软简标宋"/>
          <w:b/>
          <w:bCs/>
          <w:color w:val="0075BF"/>
          <w:spacing w:val="-7"/>
          <w:sz w:val="44"/>
          <w:szCs w:val="44"/>
        </w:rPr>
        <w:t>SIWW</w:t>
      </w:r>
      <w:r>
        <w:rPr>
          <w:rFonts w:hint="eastAsia" w:ascii="微软简标宋" w:hAnsi="微软简标宋" w:eastAsia="微软简标宋" w:cs="微软简标宋"/>
          <w:b/>
          <w:bCs/>
          <w:color w:val="0075BF"/>
          <w:spacing w:val="-7"/>
          <w:sz w:val="44"/>
          <w:szCs w:val="44"/>
          <w:lang w:val="en-US" w:eastAsia="zh-CN"/>
        </w:rPr>
        <w:t xml:space="preserve"> </w:t>
      </w:r>
      <w:r>
        <w:rPr>
          <w:rFonts w:hint="eastAsia" w:ascii="微软简标宋" w:hAnsi="微软简标宋" w:eastAsia="微软简标宋" w:cs="微软简标宋"/>
          <w:b/>
          <w:bCs/>
          <w:color w:val="0075BF"/>
          <w:spacing w:val="-3"/>
          <w:sz w:val="44"/>
          <w:szCs w:val="44"/>
        </w:rPr>
        <w:t>WATER</w:t>
      </w:r>
      <w:r>
        <w:rPr>
          <w:rFonts w:hint="eastAsia" w:ascii="微软简标宋" w:hAnsi="微软简标宋" w:eastAsia="微软简标宋" w:cs="微软简标宋"/>
          <w:b/>
          <w:bCs/>
          <w:color w:val="0075BF"/>
          <w:spacing w:val="40"/>
          <w:sz w:val="44"/>
          <w:szCs w:val="44"/>
        </w:rPr>
        <w:t xml:space="preserve"> </w:t>
      </w:r>
      <w:r>
        <w:rPr>
          <w:rFonts w:hint="eastAsia" w:ascii="微软简标宋" w:hAnsi="微软简标宋" w:eastAsia="微软简标宋" w:cs="微软简标宋"/>
          <w:b/>
          <w:bCs/>
          <w:color w:val="0075BF"/>
          <w:spacing w:val="-3"/>
          <w:sz w:val="44"/>
          <w:szCs w:val="44"/>
        </w:rPr>
        <w:t>EXPO 2024</w:t>
      </w:r>
    </w:p>
    <w:p>
      <w:pPr>
        <w:pStyle w:val="2"/>
        <w:spacing w:before="206" w:line="240" w:lineRule="auto"/>
        <w:jc w:val="center"/>
        <w:rPr>
          <w:rFonts w:hint="eastAsia" w:ascii="微软简标宋" w:hAnsi="微软简标宋" w:eastAsia="微软简标宋" w:cs="微软简标宋"/>
          <w:sz w:val="44"/>
          <w:szCs w:val="44"/>
        </w:rPr>
      </w:pPr>
      <w:r>
        <w:rPr>
          <w:rFonts w:hint="eastAsia" w:ascii="微软简标宋" w:hAnsi="微软简标宋" w:eastAsia="微软简标宋" w:cs="微软简标宋"/>
          <w:b/>
          <w:bCs/>
          <w:color w:val="0075BF"/>
          <w:spacing w:val="-1"/>
          <w:sz w:val="44"/>
          <w:szCs w:val="44"/>
        </w:rPr>
        <w:t>新加坡国际水博会</w:t>
      </w:r>
    </w:p>
    <w:p>
      <w:pPr>
        <w:pStyle w:val="2"/>
        <w:spacing w:before="78" w:line="470" w:lineRule="exact"/>
        <w:jc w:val="both"/>
        <w:rPr>
          <w:rFonts w:hint="eastAsia" w:ascii="微软雅黑" w:hAnsi="微软雅黑" w:eastAsia="微软雅黑" w:cs="微软雅黑"/>
          <w:b/>
          <w:bCs/>
          <w:color w:val="231F20"/>
          <w:spacing w:val="9"/>
          <w:position w:val="-1"/>
          <w:sz w:val="24"/>
          <w:szCs w:val="24"/>
          <w:lang w:val="en-US" w:eastAsia="zh-CN"/>
        </w:rPr>
      </w:pPr>
      <w:r>
        <w:rPr>
          <w:sz w:val="36"/>
          <w:szCs w:val="36"/>
        </w:rP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4699635</wp:posOffset>
            </wp:positionH>
            <wp:positionV relativeFrom="page">
              <wp:posOffset>2599055</wp:posOffset>
            </wp:positionV>
            <wp:extent cx="1954530" cy="1757045"/>
            <wp:effectExtent l="0" t="0" r="7620" b="14605"/>
            <wp:wrapNone/>
            <wp:docPr id="88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before="78" w:line="48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color w:val="231F20"/>
          <w:spacing w:val="9"/>
          <w:position w:val="-1"/>
          <w:sz w:val="28"/>
          <w:szCs w:val="28"/>
          <w:lang w:val="en-US" w:eastAsia="zh-CN"/>
        </w:rPr>
        <w:t>时间：</w:t>
      </w:r>
      <w:r>
        <w:rPr>
          <w:rFonts w:hint="eastAsia" w:ascii="微软雅黑" w:hAnsi="微软雅黑" w:eastAsia="微软雅黑" w:cs="微软雅黑"/>
          <w:b/>
          <w:bCs/>
          <w:color w:val="231F20"/>
          <w:spacing w:val="9"/>
          <w:position w:val="-1"/>
          <w:sz w:val="28"/>
          <w:szCs w:val="28"/>
        </w:rPr>
        <w:t>2024年6月19-21日</w:t>
      </w:r>
    </w:p>
    <w:p>
      <w:pPr>
        <w:pStyle w:val="2"/>
        <w:spacing w:before="145" w:line="480" w:lineRule="auto"/>
        <w:jc w:val="both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231F20"/>
          <w:spacing w:val="-7"/>
          <w:position w:val="-1"/>
          <w:sz w:val="28"/>
          <w:szCs w:val="28"/>
          <w:lang w:val="en-US" w:eastAsia="zh-CN"/>
        </w:rPr>
        <w:t>地点：</w:t>
      </w:r>
      <w:r>
        <w:rPr>
          <w:rFonts w:hint="eastAsia" w:ascii="微软雅黑" w:hAnsi="微软雅黑" w:eastAsia="微软雅黑" w:cs="微软雅黑"/>
          <w:b/>
          <w:bCs/>
          <w:color w:val="231F20"/>
          <w:spacing w:val="-7"/>
          <w:position w:val="-1"/>
          <w:sz w:val="28"/>
          <w:szCs w:val="28"/>
        </w:rPr>
        <w:t>新加坡 ·</w:t>
      </w:r>
      <w:r>
        <w:rPr>
          <w:rFonts w:hint="eastAsia" w:ascii="微软雅黑" w:hAnsi="微软雅黑" w:eastAsia="微软雅黑" w:cs="微软雅黑"/>
          <w:b/>
          <w:bCs/>
          <w:color w:val="231F20"/>
          <w:spacing w:val="-20"/>
          <w:position w:val="-1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color w:val="231F20"/>
          <w:spacing w:val="-7"/>
          <w:position w:val="-1"/>
          <w:sz w:val="28"/>
          <w:szCs w:val="28"/>
        </w:rPr>
        <w:t>滨海湾金沙会展中</w:t>
      </w:r>
      <w:r>
        <w:rPr>
          <w:rFonts w:hint="eastAsia" w:ascii="微软雅黑" w:hAnsi="微软雅黑" w:eastAsia="微软雅黑" w:cs="微软雅黑"/>
          <w:b/>
          <w:bCs/>
          <w:color w:val="231F20"/>
          <w:spacing w:val="-7"/>
          <w:position w:val="-1"/>
          <w:sz w:val="24"/>
          <w:szCs w:val="24"/>
        </w:rPr>
        <w:t>心</w:t>
      </w:r>
    </w:p>
    <w:p>
      <w:pPr>
        <w:pStyle w:val="3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3"/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展会概况</w:t>
      </w:r>
    </w:p>
    <w:p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231F2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231F20"/>
          <w:kern w:val="0"/>
          <w:sz w:val="28"/>
          <w:szCs w:val="28"/>
          <w:lang w:val="en-US" w:eastAsia="zh-CN" w:bidi="ar"/>
        </w:rPr>
        <w:t xml:space="preserve">新加坡国际水博会作为全球颇具影响力的水处理行业盛会，两年一度的新加坡国际水博会（SIWW WATER EXPO 2024）通过推出一系列旗舰活动，汇集来自政府、事业、学术界和企业界的专家及从业人员，分享实践经验和解决方案，展示前沿技术，把握商业机会，应对城市水资源挑战。 </w:t>
      </w:r>
    </w:p>
    <w:p>
      <w:pPr>
        <w:pStyle w:val="2"/>
        <w:spacing w:before="139" w:line="360" w:lineRule="auto"/>
        <w:ind w:firstLine="556" w:firstLineChars="20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1"/>
          <w:sz w:val="28"/>
          <w:szCs w:val="28"/>
        </w:rPr>
        <w:t>SIWW+是新加坡国际水博会数字技术和创新资源中心。</w:t>
      </w:r>
      <w:r>
        <w:rPr>
          <w:rFonts w:hint="eastAsia" w:ascii="仿宋" w:hAnsi="仿宋" w:eastAsia="仿宋" w:cs="仿宋"/>
          <w:b w:val="0"/>
          <w:bCs w:val="0"/>
          <w:color w:val="231F20"/>
          <w:sz w:val="28"/>
          <w:szCs w:val="28"/>
        </w:rPr>
        <w:t>SIWW</w:t>
      </w:r>
      <w:r>
        <w:rPr>
          <w:rFonts w:hint="eastAsia" w:ascii="仿宋" w:hAnsi="仿宋" w:eastAsia="仿宋" w:cs="仿宋"/>
          <w:b w:val="0"/>
          <w:bCs w:val="0"/>
          <w:color w:val="231F20"/>
          <w:spacing w:val="9"/>
          <w:sz w:val="28"/>
          <w:szCs w:val="28"/>
        </w:rPr>
        <w:t>+是一个关于水资源创新的免费开放源在线知识库，包含</w:t>
      </w:r>
      <w:r>
        <w:rPr>
          <w:rFonts w:hint="eastAsia" w:ascii="仿宋" w:hAnsi="仿宋" w:eastAsia="仿宋" w:cs="仿宋"/>
          <w:b w:val="0"/>
          <w:bCs w:val="0"/>
          <w:color w:val="231F20"/>
          <w:sz w:val="28"/>
          <w:szCs w:val="28"/>
        </w:rPr>
        <w:t>SIWW</w:t>
      </w:r>
      <w:r>
        <w:rPr>
          <w:rFonts w:hint="eastAsia" w:ascii="仿宋" w:hAnsi="仿宋" w:eastAsia="仿宋" w:cs="仿宋"/>
          <w:b w:val="0"/>
          <w:bCs w:val="0"/>
          <w:color w:val="231F20"/>
          <w:spacing w:val="6"/>
          <w:sz w:val="28"/>
          <w:szCs w:val="28"/>
        </w:rPr>
        <w:t>-和行业相关的报告</w:t>
      </w:r>
      <w:r>
        <w:rPr>
          <w:rFonts w:hint="eastAsia" w:ascii="仿宋" w:hAnsi="仿宋" w:eastAsia="仿宋" w:cs="仿宋"/>
          <w:b w:val="0"/>
          <w:bCs w:val="0"/>
          <w:color w:val="231F20"/>
          <w:spacing w:val="6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color w:val="231F20"/>
          <w:spacing w:val="6"/>
          <w:sz w:val="28"/>
          <w:szCs w:val="28"/>
        </w:rPr>
        <w:t>文章和视频</w:t>
      </w:r>
      <w:r>
        <w:rPr>
          <w:rFonts w:hint="eastAsia" w:ascii="仿宋" w:hAnsi="仿宋" w:eastAsia="仿宋" w:cs="仿宋"/>
          <w:b w:val="0"/>
          <w:bCs w:val="0"/>
          <w:color w:val="231F20"/>
          <w:spacing w:val="6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231F20"/>
          <w:spacing w:val="6"/>
          <w:sz w:val="28"/>
          <w:szCs w:val="28"/>
        </w:rPr>
        <w:t>收录</w:t>
      </w:r>
      <w:r>
        <w:rPr>
          <w:rFonts w:hint="eastAsia" w:ascii="仿宋" w:hAnsi="仿宋" w:eastAsia="仿宋" w:cs="仿宋"/>
          <w:b w:val="0"/>
          <w:bCs w:val="0"/>
          <w:color w:val="231F20"/>
          <w:sz w:val="28"/>
          <w:szCs w:val="28"/>
        </w:rPr>
        <w:t>SIWW</w:t>
      </w:r>
      <w:r>
        <w:rPr>
          <w:rFonts w:hint="eastAsia" w:ascii="仿宋" w:hAnsi="仿宋" w:eastAsia="仿宋" w:cs="仿宋"/>
          <w:b w:val="0"/>
          <w:bCs w:val="0"/>
          <w:color w:val="231F2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231F20"/>
          <w:sz w:val="28"/>
          <w:szCs w:val="28"/>
        </w:rPr>
        <w:t>Spotlight</w:t>
      </w:r>
      <w:r>
        <w:rPr>
          <w:rFonts w:hint="eastAsia" w:ascii="仿宋" w:hAnsi="仿宋" w:eastAsia="仿宋" w:cs="仿宋"/>
          <w:b w:val="0"/>
          <w:bCs w:val="0"/>
          <w:color w:val="231F20"/>
          <w:spacing w:val="-1"/>
          <w:sz w:val="28"/>
          <w:szCs w:val="28"/>
        </w:rPr>
        <w:t>2023和SIWW2022的记录</w:t>
      </w:r>
      <w:r>
        <w:rPr>
          <w:rFonts w:hint="eastAsia" w:ascii="仿宋" w:hAnsi="仿宋" w:eastAsia="仿宋" w:cs="仿宋"/>
          <w:b w:val="0"/>
          <w:bCs w:val="0"/>
          <w:color w:val="231F20"/>
          <w:spacing w:val="-24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231F20"/>
          <w:spacing w:val="-1"/>
          <w:sz w:val="28"/>
          <w:szCs w:val="28"/>
        </w:rPr>
        <w:t>，内容涵盖气候适应性、数字化水管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理、</w:t>
      </w:r>
      <w:r>
        <w:rPr>
          <w:rFonts w:hint="eastAsia" w:ascii="仿宋" w:hAnsi="仿宋" w:eastAsia="仿宋" w:cs="仿宋"/>
          <w:b w:val="0"/>
          <w:bCs w:val="0"/>
          <w:color w:val="231F20"/>
          <w:spacing w:val="-1"/>
          <w:sz w:val="28"/>
          <w:szCs w:val="28"/>
        </w:rPr>
        <w:t>净零排放、资源循环和可持续性等各种城市水资源问题。</w:t>
      </w:r>
    </w:p>
    <w:p>
      <w:pPr>
        <w:pStyle w:val="2"/>
        <w:spacing w:line="360" w:lineRule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drawing>
          <wp:anchor distT="0" distB="0" distL="0" distR="0" simplePos="0" relativeHeight="251664384" behindDoc="0" locked="0" layoutInCell="0" allowOverlap="1">
            <wp:simplePos x="0" y="0"/>
            <wp:positionH relativeFrom="page">
              <wp:posOffset>3425190</wp:posOffset>
            </wp:positionH>
            <wp:positionV relativeFrom="page">
              <wp:posOffset>8421370</wp:posOffset>
            </wp:positionV>
            <wp:extent cx="977265" cy="1132840"/>
            <wp:effectExtent l="0" t="0" r="13335" b="1016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113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4517390</wp:posOffset>
            </wp:positionH>
            <wp:positionV relativeFrom="page">
              <wp:posOffset>8423275</wp:posOffset>
            </wp:positionV>
            <wp:extent cx="991870" cy="1107440"/>
            <wp:effectExtent l="0" t="0" r="17780" b="1651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5518150</wp:posOffset>
            </wp:positionH>
            <wp:positionV relativeFrom="page">
              <wp:posOffset>8425180</wp:posOffset>
            </wp:positionV>
            <wp:extent cx="1147445" cy="1090295"/>
            <wp:effectExtent l="0" t="0" r="14605" b="14605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mc:AlternateContent>
          <mc:Choice Requires="wpg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929640</wp:posOffset>
                </wp:positionH>
                <wp:positionV relativeFrom="page">
                  <wp:posOffset>8704580</wp:posOffset>
                </wp:positionV>
                <wp:extent cx="467995" cy="472440"/>
                <wp:effectExtent l="0" t="0" r="8255" b="3810"/>
                <wp:wrapNone/>
                <wp:docPr id="92" name="组合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" cy="472440"/>
                          <a:chOff x="0" y="0"/>
                          <a:chExt cx="736" cy="744"/>
                        </a:xfrm>
                      </wpg:grpSpPr>
                      <wps:wsp>
                        <wps:cNvPr id="89" name="任意多边形 89"/>
                        <wps:cNvSpPr/>
                        <wps:spPr>
                          <a:xfrm>
                            <a:off x="167" y="0"/>
                            <a:ext cx="569" cy="69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69" h="693">
                                <a:moveTo>
                                  <a:pt x="315" y="0"/>
                                </a:moveTo>
                                <a:lnTo>
                                  <a:pt x="245" y="0"/>
                                </a:lnTo>
                                <a:lnTo>
                                  <a:pt x="167" y="15"/>
                                </a:lnTo>
                                <a:lnTo>
                                  <a:pt x="84" y="46"/>
                                </a:lnTo>
                                <a:lnTo>
                                  <a:pt x="0" y="98"/>
                                </a:lnTo>
                                <a:lnTo>
                                  <a:pt x="62" y="77"/>
                                </a:lnTo>
                                <a:lnTo>
                                  <a:pt x="131" y="59"/>
                                </a:lnTo>
                                <a:lnTo>
                                  <a:pt x="205" y="48"/>
                                </a:lnTo>
                                <a:lnTo>
                                  <a:pt x="279" y="49"/>
                                </a:lnTo>
                                <a:lnTo>
                                  <a:pt x="348" y="65"/>
                                </a:lnTo>
                                <a:lnTo>
                                  <a:pt x="408" y="102"/>
                                </a:lnTo>
                                <a:lnTo>
                                  <a:pt x="467" y="193"/>
                                </a:lnTo>
                                <a:lnTo>
                                  <a:pt x="479" y="252"/>
                                </a:lnTo>
                                <a:lnTo>
                                  <a:pt x="480" y="317"/>
                                </a:lnTo>
                                <a:lnTo>
                                  <a:pt x="468" y="385"/>
                                </a:lnTo>
                                <a:lnTo>
                                  <a:pt x="442" y="453"/>
                                </a:lnTo>
                                <a:lnTo>
                                  <a:pt x="402" y="520"/>
                                </a:lnTo>
                                <a:lnTo>
                                  <a:pt x="348" y="582"/>
                                </a:lnTo>
                                <a:lnTo>
                                  <a:pt x="278" y="637"/>
                                </a:lnTo>
                                <a:lnTo>
                                  <a:pt x="193" y="671"/>
                                </a:lnTo>
                                <a:lnTo>
                                  <a:pt x="132" y="679"/>
                                </a:lnTo>
                                <a:lnTo>
                                  <a:pt x="145" y="684"/>
                                </a:lnTo>
                                <a:lnTo>
                                  <a:pt x="181" y="692"/>
                                </a:lnTo>
                                <a:lnTo>
                                  <a:pt x="239" y="690"/>
                                </a:lnTo>
                                <a:lnTo>
                                  <a:pt x="316" y="664"/>
                                </a:lnTo>
                                <a:lnTo>
                                  <a:pt x="421" y="591"/>
                                </a:lnTo>
                                <a:lnTo>
                                  <a:pt x="474" y="531"/>
                                </a:lnTo>
                                <a:lnTo>
                                  <a:pt x="525" y="452"/>
                                </a:lnTo>
                                <a:lnTo>
                                  <a:pt x="562" y="339"/>
                                </a:lnTo>
                                <a:lnTo>
                                  <a:pt x="568" y="273"/>
                                </a:lnTo>
                                <a:lnTo>
                                  <a:pt x="562" y="206"/>
                                </a:lnTo>
                                <a:lnTo>
                                  <a:pt x="542" y="142"/>
                                </a:lnTo>
                                <a:lnTo>
                                  <a:pt x="505" y="84"/>
                                </a:lnTo>
                                <a:lnTo>
                                  <a:pt x="450" y="39"/>
                                </a:lnTo>
                                <a:lnTo>
                                  <a:pt x="373" y="9"/>
                                </a:lnTo>
                                <a:lnTo>
                                  <a:pt x="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2BC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90" name="任意多边形 90"/>
                        <wps:cNvSpPr/>
                        <wps:spPr>
                          <a:xfrm>
                            <a:off x="134" y="134"/>
                            <a:ext cx="437" cy="5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37" h="507">
                                <a:moveTo>
                                  <a:pt x="256" y="0"/>
                                </a:moveTo>
                                <a:lnTo>
                                  <a:pt x="307" y="19"/>
                                </a:lnTo>
                                <a:lnTo>
                                  <a:pt x="344" y="58"/>
                                </a:lnTo>
                                <a:lnTo>
                                  <a:pt x="366" y="113"/>
                                </a:lnTo>
                                <a:lnTo>
                                  <a:pt x="370" y="181"/>
                                </a:lnTo>
                                <a:lnTo>
                                  <a:pt x="355" y="253"/>
                                </a:lnTo>
                                <a:lnTo>
                                  <a:pt x="323" y="320"/>
                                </a:lnTo>
                                <a:lnTo>
                                  <a:pt x="278" y="377"/>
                                </a:lnTo>
                                <a:lnTo>
                                  <a:pt x="224" y="419"/>
                                </a:lnTo>
                                <a:lnTo>
                                  <a:pt x="164" y="444"/>
                                </a:lnTo>
                                <a:lnTo>
                                  <a:pt x="112" y="448"/>
                                </a:lnTo>
                                <a:lnTo>
                                  <a:pt x="65" y="438"/>
                                </a:lnTo>
                                <a:lnTo>
                                  <a:pt x="27" y="412"/>
                                </a:lnTo>
                                <a:lnTo>
                                  <a:pt x="0" y="371"/>
                                </a:lnTo>
                                <a:lnTo>
                                  <a:pt x="23" y="440"/>
                                </a:lnTo>
                                <a:lnTo>
                                  <a:pt x="68" y="485"/>
                                </a:lnTo>
                                <a:lnTo>
                                  <a:pt x="127" y="507"/>
                                </a:lnTo>
                                <a:lnTo>
                                  <a:pt x="193" y="507"/>
                                </a:lnTo>
                                <a:lnTo>
                                  <a:pt x="250" y="490"/>
                                </a:lnTo>
                                <a:lnTo>
                                  <a:pt x="306" y="453"/>
                                </a:lnTo>
                                <a:lnTo>
                                  <a:pt x="355" y="402"/>
                                </a:lnTo>
                                <a:lnTo>
                                  <a:pt x="396" y="341"/>
                                </a:lnTo>
                                <a:lnTo>
                                  <a:pt x="424" y="274"/>
                                </a:lnTo>
                                <a:lnTo>
                                  <a:pt x="436" y="205"/>
                                </a:lnTo>
                                <a:lnTo>
                                  <a:pt x="424" y="118"/>
                                </a:lnTo>
                                <a:lnTo>
                                  <a:pt x="385" y="52"/>
                                </a:lnTo>
                                <a:lnTo>
                                  <a:pt x="327" y="10"/>
                                </a:lnTo>
                                <a:lnTo>
                                  <a:pt x="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409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91" name="任意多边形 91"/>
                        <wps:cNvSpPr/>
                        <wps:spPr>
                          <a:xfrm>
                            <a:off x="0" y="93"/>
                            <a:ext cx="530" cy="65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0" h="650">
                                <a:moveTo>
                                  <a:pt x="414" y="0"/>
                                </a:moveTo>
                                <a:lnTo>
                                  <a:pt x="353" y="4"/>
                                </a:lnTo>
                                <a:lnTo>
                                  <a:pt x="217" y="51"/>
                                </a:lnTo>
                                <a:lnTo>
                                  <a:pt x="149" y="97"/>
                                </a:lnTo>
                                <a:lnTo>
                                  <a:pt x="96" y="147"/>
                                </a:lnTo>
                                <a:lnTo>
                                  <a:pt x="59" y="196"/>
                                </a:lnTo>
                                <a:lnTo>
                                  <a:pt x="10" y="310"/>
                                </a:lnTo>
                                <a:lnTo>
                                  <a:pt x="0" y="379"/>
                                </a:lnTo>
                                <a:lnTo>
                                  <a:pt x="2" y="441"/>
                                </a:lnTo>
                                <a:lnTo>
                                  <a:pt x="46" y="546"/>
                                </a:lnTo>
                                <a:lnTo>
                                  <a:pt x="132" y="617"/>
                                </a:lnTo>
                                <a:lnTo>
                                  <a:pt x="189" y="639"/>
                                </a:lnTo>
                                <a:lnTo>
                                  <a:pt x="255" y="650"/>
                                </a:lnTo>
                                <a:lnTo>
                                  <a:pt x="327" y="649"/>
                                </a:lnTo>
                                <a:lnTo>
                                  <a:pt x="406" y="637"/>
                                </a:lnTo>
                                <a:lnTo>
                                  <a:pt x="322" y="624"/>
                                </a:lnTo>
                                <a:lnTo>
                                  <a:pt x="254" y="602"/>
                                </a:lnTo>
                                <a:lnTo>
                                  <a:pt x="199" y="570"/>
                                </a:lnTo>
                                <a:lnTo>
                                  <a:pt x="128" y="485"/>
                                </a:lnTo>
                                <a:lnTo>
                                  <a:pt x="106" y="382"/>
                                </a:lnTo>
                                <a:lnTo>
                                  <a:pt x="110" y="327"/>
                                </a:lnTo>
                                <a:lnTo>
                                  <a:pt x="149" y="219"/>
                                </a:lnTo>
                                <a:lnTo>
                                  <a:pt x="182" y="168"/>
                                </a:lnTo>
                                <a:lnTo>
                                  <a:pt x="222" y="121"/>
                                </a:lnTo>
                                <a:lnTo>
                                  <a:pt x="269" y="80"/>
                                </a:lnTo>
                                <a:lnTo>
                                  <a:pt x="323" y="47"/>
                                </a:lnTo>
                                <a:lnTo>
                                  <a:pt x="421" y="22"/>
                                </a:lnTo>
                                <a:lnTo>
                                  <a:pt x="475" y="26"/>
                                </a:lnTo>
                                <a:lnTo>
                                  <a:pt x="529" y="44"/>
                                </a:lnTo>
                                <a:lnTo>
                                  <a:pt x="476" y="11"/>
                                </a:lnTo>
                                <a:lnTo>
                                  <a:pt x="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8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3.2pt;margin-top:685.4pt;height:37.2pt;width:36.85pt;mso-position-horizontal-relative:page;mso-position-vertical-relative:page;z-index:251665408;mso-width-relative:page;mso-height-relative:page;" coordsize="736,744" o:allowincell="f" o:gfxdata="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">
                <o:lock v:ext="edit" aspectratio="f"/>
                <v:shape id="_x0000_s1026" o:spid="_x0000_s1026" o:spt="100" style="position:absolute;left:167;top:0;height:693;width:569;" fillcolor="#0072BC" filled="t" stroked="f" coordsize="569,693" o:gfxdata="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ydi4W5AAAA2wAA&#10;AA8AAAAAAAAAAQAgAAAAIgAAAGRycy9kb3ducmV2LnhtbFBLAQIUABQAAAAIAIdO4kAzLwWeOwAA&#10;ADkAAAAQAAAAAAAAAAEAIAAAAAgBAABkcnMvc2hhcGV4bWwueG1sUEsFBgAAAAAGAAYAWwEAALID&#10;AAAAAA==&#10;" path="m315,0l245,0,167,15,84,46,0,98,62,77,131,59,205,48,279,49,348,65,408,102,467,193,479,252,480,317,468,385,442,453,402,520,348,582,278,637,193,671,132,679,145,684,181,692,239,690,316,664,421,591,474,531,525,452,562,339,568,273,562,206,542,142,505,84,450,39,373,9,315,0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100" style="position:absolute;left:134;top:134;height:507;width:437;" fillcolor="#21409A" filled="t" stroked="f" coordsize="437,507" o:gfxdata="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Qe4o4bgAAADbAAAA&#10;DwAAAAAAAAABACAAAAAiAAAAZHJzL2Rvd25yZXYueG1sUEsBAhQAFAAAAAgAh07iQDMvBZ47AAAA&#10;OQAAABAAAAAAAAAAAQAgAAAABwEAAGRycy9zaGFwZXhtbC54bWxQSwUGAAAAAAYABgBbAQAAsQMA&#10;AAAA&#10;" path="m256,0l307,19,344,58,366,113,370,181,355,253,323,320,278,377,224,419,164,444,112,448,65,438,27,412,0,371,23,440,68,485,127,507,193,507,250,490,306,453,355,402,396,341,424,274,436,205,424,118,385,52,327,10,256,0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100" style="position:absolute;left:0;top:93;height:650;width:530;" fillcolor="#009B8F" filled="t" stroked="f" coordsize="530,650" o:gfxdata="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WHIGbsAAADb&#10;AAAADwAAAAAAAAABACAAAAAiAAAAZHJzL2Rvd25yZXYueG1sUEsBAhQAFAAAAAgAh07iQDMvBZ47&#10;AAAAOQAAABAAAAAAAAAAAQAgAAAACgEAAGRycy9zaGFwZXhtbC54bWxQSwUGAAAAAAYABgBbAQAA&#10;tAMAAAAA&#10;" path="m414,0l353,4,217,51,149,97,96,147,59,196,10,310,0,379,2,441,46,546,132,617,189,639,255,650,327,649,406,637,322,624,254,602,199,570,128,485,106,382,110,327,149,219,182,168,222,121,269,80,323,47,421,22,475,26,529,44,476,11,414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position w:val="-11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563880</wp:posOffset>
            </wp:positionH>
            <wp:positionV relativeFrom="paragraph">
              <wp:posOffset>135890</wp:posOffset>
            </wp:positionV>
            <wp:extent cx="1656080" cy="354330"/>
            <wp:effectExtent l="0" t="0" r="1270" b="762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588" cy="354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展品范围</w:t>
      </w:r>
    </w:p>
    <w:p>
      <w:pPr>
        <w:pStyle w:val="2"/>
        <w:numPr>
          <w:ilvl w:val="0"/>
          <w:numId w:val="1"/>
        </w:numPr>
        <w:spacing w:before="55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pacing w:val="-3"/>
          <w:sz w:val="28"/>
          <w:szCs w:val="28"/>
        </w:rPr>
        <w:t>前沿处理技术</w:t>
      </w:r>
    </w:p>
    <w:p>
      <w:pPr>
        <w:pStyle w:val="2"/>
        <w:numPr>
          <w:ilvl w:val="0"/>
          <w:numId w:val="1"/>
        </w:numPr>
        <w:spacing w:before="31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4"/>
          <w:sz w:val="28"/>
          <w:szCs w:val="28"/>
        </w:rPr>
        <w:t>气候适应</w:t>
      </w:r>
    </w:p>
    <w:p>
      <w:pPr>
        <w:pStyle w:val="2"/>
        <w:numPr>
          <w:ilvl w:val="0"/>
          <w:numId w:val="1"/>
        </w:numPr>
        <w:spacing w:before="9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4"/>
          <w:sz w:val="28"/>
          <w:szCs w:val="28"/>
        </w:rPr>
        <w:t>气候融资</w:t>
      </w:r>
    </w:p>
    <w:p>
      <w:pPr>
        <w:pStyle w:val="2"/>
        <w:numPr>
          <w:ilvl w:val="0"/>
          <w:numId w:val="1"/>
        </w:numPr>
        <w:spacing w:before="12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海岸保护与抗洪能力</w:t>
      </w:r>
    </w:p>
    <w:p>
      <w:pPr>
        <w:pStyle w:val="2"/>
        <w:numPr>
          <w:ilvl w:val="0"/>
          <w:numId w:val="1"/>
        </w:numPr>
        <w:spacing w:before="9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3"/>
          <w:sz w:val="28"/>
          <w:szCs w:val="28"/>
        </w:rPr>
        <w:t>数字化水管理</w:t>
      </w:r>
    </w:p>
    <w:p>
      <w:pPr>
        <w:pStyle w:val="2"/>
        <w:numPr>
          <w:ilvl w:val="0"/>
          <w:numId w:val="1"/>
        </w:numPr>
        <w:spacing w:before="12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z w:val="28"/>
          <w:szCs w:val="28"/>
        </w:rPr>
        <w:t>基于自然的解决方案和蓝绿基础设施</w:t>
      </w:r>
    </w:p>
    <w:p>
      <w:pPr>
        <w:pStyle w:val="2"/>
        <w:numPr>
          <w:ilvl w:val="0"/>
          <w:numId w:val="1"/>
        </w:numPr>
        <w:spacing w:before="12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3"/>
          <w:sz w:val="28"/>
          <w:szCs w:val="28"/>
        </w:rPr>
        <w:t>净零排放和脱碳</w:t>
      </w:r>
    </w:p>
    <w:p>
      <w:pPr>
        <w:pStyle w:val="2"/>
        <w:numPr>
          <w:ilvl w:val="0"/>
          <w:numId w:val="1"/>
        </w:numPr>
        <w:spacing w:before="10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4"/>
          <w:sz w:val="28"/>
          <w:szCs w:val="28"/>
        </w:rPr>
        <w:t>互连和循环</w:t>
      </w:r>
    </w:p>
    <w:p>
      <w:pPr>
        <w:pStyle w:val="2"/>
        <w:numPr>
          <w:ilvl w:val="0"/>
          <w:numId w:val="1"/>
        </w:numPr>
        <w:spacing w:before="9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4"/>
          <w:sz w:val="28"/>
          <w:szCs w:val="28"/>
        </w:rPr>
        <w:t>智能网络</w:t>
      </w:r>
    </w:p>
    <w:p>
      <w:pPr>
        <w:pStyle w:val="2"/>
        <w:numPr>
          <w:ilvl w:val="0"/>
          <w:numId w:val="1"/>
        </w:numPr>
        <w:spacing w:before="11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污水管理和再利用</w:t>
      </w:r>
    </w:p>
    <w:p>
      <w:pPr>
        <w:pStyle w:val="2"/>
        <w:numPr>
          <w:ilvl w:val="0"/>
          <w:numId w:val="1"/>
        </w:numPr>
        <w:spacing w:before="10" w:line="360" w:lineRule="auto"/>
        <w:ind w:left="420" w:leftChars="0" w:hanging="420" w:firstLine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3"/>
          <w:sz w:val="28"/>
          <w:szCs w:val="28"/>
        </w:rPr>
        <w:t>水质与健康</w:t>
      </w:r>
    </w:p>
    <w:p>
      <w:pPr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  <w:t>三、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展会亮点</w:t>
      </w:r>
    </w:p>
    <w:p>
      <w:pPr>
        <w:pStyle w:val="2"/>
        <w:numPr>
          <w:ilvl w:val="0"/>
          <w:numId w:val="0"/>
        </w:numPr>
        <w:spacing w:before="11" w:line="360" w:lineRule="auto"/>
        <w:ind w:leftChars="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val="en-US" w:eastAsia="zh-CN"/>
        </w:rPr>
        <w:t>（一）前沿思考</w:t>
      </w:r>
    </w:p>
    <w:p>
      <w:pPr>
        <w:pStyle w:val="2"/>
        <w:numPr>
          <w:ilvl w:val="0"/>
          <w:numId w:val="0"/>
        </w:numPr>
        <w:spacing w:before="11" w:line="360" w:lineRule="auto"/>
        <w:ind w:leftChars="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val="en-US" w:eastAsia="zh-CN"/>
        </w:rPr>
        <w:t>（1）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行业领袖峰会</w:t>
      </w:r>
    </w:p>
    <w:p>
      <w:pPr>
        <w:pStyle w:val="2"/>
        <w:numPr>
          <w:ilvl w:val="0"/>
          <w:numId w:val="0"/>
        </w:numPr>
        <w:spacing w:before="11" w:line="360" w:lineRule="auto"/>
        <w:ind w:leftChars="0" w:firstLine="276" w:firstLineChars="10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全球水资源领袖和专家齐聚一堂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分享解决方案、技术创新和政策干 预 ，激励共同行动解决全球紧迫的水城市挑战。</w:t>
      </w:r>
    </w:p>
    <w:p>
      <w:pPr>
        <w:pStyle w:val="2"/>
        <w:numPr>
          <w:ilvl w:val="0"/>
          <w:numId w:val="0"/>
        </w:numPr>
        <w:spacing w:before="11" w:line="360" w:lineRule="auto"/>
        <w:ind w:leftChars="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青年领袖计划</w:t>
      </w:r>
    </w:p>
    <w:p>
      <w:pPr>
        <w:pStyle w:val="2"/>
        <w:numPr>
          <w:ilvl w:val="0"/>
          <w:numId w:val="0"/>
        </w:numPr>
        <w:spacing w:before="11" w:line="360" w:lineRule="auto"/>
        <w:ind w:leftChars="0" w:firstLine="552" w:firstLineChars="20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旨在为水务公用事业新生代青年领袖们提供宝贵的学习和交流机会，在SIWW期间及之后，与全球工业、事业领袖们及PUB近距离接触并建立联系。</w:t>
      </w:r>
    </w:p>
    <w:p>
      <w:pPr>
        <w:pStyle w:val="2"/>
        <w:numPr>
          <w:ilvl w:val="0"/>
          <w:numId w:val="2"/>
        </w:numPr>
        <w:spacing w:before="11" w:line="360" w:lineRule="auto"/>
        <w:ind w:leftChars="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val="en-US" w:eastAsia="zh-CN"/>
        </w:rPr>
        <w:t>解决方案与技术</w:t>
      </w:r>
    </w:p>
    <w:p>
      <w:pPr>
        <w:pStyle w:val="2"/>
        <w:numPr>
          <w:ilvl w:val="0"/>
          <w:numId w:val="0"/>
        </w:numPr>
        <w:spacing w:before="11" w:line="360" w:lineRule="auto"/>
        <w:ind w:leftChars="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val="en-US" w:eastAsia="zh-CN"/>
        </w:rPr>
        <w:t>（1）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李光耀水奖</w:t>
      </w:r>
    </w:p>
    <w:p>
      <w:pPr>
        <w:pStyle w:val="2"/>
        <w:numPr>
          <w:ilvl w:val="0"/>
          <w:numId w:val="0"/>
        </w:numPr>
        <w:spacing w:before="11" w:line="360" w:lineRule="auto"/>
        <w:ind w:leftChars="0" w:firstLine="552" w:firstLineChars="200"/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享有盛誉的国际奖项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授予通过开发或应用创新技术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color w:val="231F20"/>
          <w:spacing w:val="-2"/>
          <w:sz w:val="28"/>
          <w:szCs w:val="28"/>
        </w:rPr>
        <w:t>政策或计划 ， 为解决世界水问题做出了杰出贡献的个人或组织。</w:t>
      </w:r>
    </w:p>
    <w:p>
      <w:pPr>
        <w:pStyle w:val="3"/>
        <w:ind w:left="0" w:leftChars="0" w:firstLine="0" w:firstLineChars="0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（2）水公约大会</w:t>
      </w:r>
    </w:p>
    <w:p>
      <w:pPr>
        <w:pStyle w:val="2"/>
        <w:spacing w:before="17" w:line="182" w:lineRule="auto"/>
        <w:ind w:left="20" w:right="20" w:firstLine="552" w:firstLineChars="200"/>
        <w:jc w:val="both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与国际水协会联合举办，汇集水领域专业人士和从业人员，分享知识、 经验，就解决关键水问题的可持续技术解决方案、流程和管理战略展、开讨论。</w:t>
      </w:r>
    </w:p>
    <w:p>
      <w:pPr>
        <w:pStyle w:val="3"/>
        <w:ind w:left="0" w:leftChars="0" w:firstLine="0" w:firstLineChars="0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（3）技术与变革</w:t>
      </w:r>
    </w:p>
    <w:p>
      <w:pPr>
        <w:pStyle w:val="3"/>
        <w:ind w:left="0" w:leftChars="0" w:firstLine="552" w:firstLineChars="200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旨在将创新者与合作伙伴、买家和 投资者联系起来，以加速新的水技 术从实验室到市场的商业化运作。论坛将促进互动式辩论，建立联系 机会，展示创新技术。</w:t>
      </w:r>
    </w:p>
    <w:p>
      <w:pPr>
        <w:numPr>
          <w:ilvl w:val="0"/>
          <w:numId w:val="3"/>
        </w:numP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现场技术交流</w:t>
      </w:r>
    </w:p>
    <w:p>
      <w:pPr>
        <w:pStyle w:val="2"/>
        <w:numPr>
          <w:ilvl w:val="0"/>
          <w:numId w:val="0"/>
        </w:numPr>
        <w:ind w:firstLine="552" w:firstLineChars="200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为新加坡实现水资源可持续性的综合方法提供第一手经验，通过新加坡向花园和水之城的城市转型，展示一流水平的可持续城市和水资源解决方案。</w:t>
      </w:r>
    </w:p>
    <w:p>
      <w:pPr>
        <w:pStyle w:val="3"/>
        <w:numPr>
          <w:ilvl w:val="0"/>
          <w:numId w:val="2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商业与网络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（1）水博会</w:t>
      </w:r>
    </w:p>
    <w:p>
      <w:pPr>
        <w:numPr>
          <w:ilvl w:val="0"/>
          <w:numId w:val="0"/>
        </w:numPr>
        <w:ind w:leftChars="0" w:firstLine="552" w:firstLineChars="200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与IFAT合作，由MMI Asia主办，水博会将成为展示创新水解决方案、技术、产品和服务的全球性平台，是国际水行业汇聚一堂、寻找商业 机会的理想平台。</w:t>
      </w:r>
    </w:p>
    <w:p>
      <w:pPr>
        <w:pStyle w:val="2"/>
        <w:spacing w:before="108" w:line="198" w:lineRule="auto"/>
        <w:ind w:left="138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（2）专题与商业论坛</w:t>
      </w:r>
    </w:p>
    <w:p>
      <w:pPr>
        <w:pStyle w:val="2"/>
        <w:spacing w:before="3" w:line="183" w:lineRule="auto"/>
        <w:ind w:left="134" w:right="140" w:firstLine="552" w:firstLineChars="200"/>
        <w:jc w:val="both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论坛涵盖当今新兴趋势、机遇和挑战，旨在发现贯穿水资源领域不同主题和市场的发展趋势、解决方案和高效合作前景。</w:t>
      </w:r>
    </w:p>
    <w:p>
      <w:pPr>
        <w:pStyle w:val="2"/>
        <w:spacing w:before="108" w:line="200" w:lineRule="auto"/>
        <w:ind w:left="156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（3）社交网络</w:t>
      </w:r>
    </w:p>
    <w:p>
      <w:pPr>
        <w:pStyle w:val="2"/>
        <w:spacing w:before="5" w:line="181" w:lineRule="auto"/>
        <w:ind w:left="153" w:right="801" w:firstLine="554" w:firstLineChars="201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为促进与会代表、参展商和专业观众彼此之间的联系，SIWW期间，将举办多场社交活动，如： 欢迎酒会、闭幕晚宴、高尔夫球锦标赛及行业之夜。</w:t>
      </w:r>
    </w:p>
    <w:p>
      <w:pPr>
        <w:numPr>
          <w:ilvl w:val="0"/>
          <w:numId w:val="4"/>
        </w:numPr>
        <w:spacing w:line="360" w:lineRule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费用预算表：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1220"/>
        <w:gridCol w:w="1820"/>
        <w:gridCol w:w="41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995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159"/>
              <w:jc w:val="left"/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8"/>
                <w:szCs w:val="28"/>
                <w:lang w:val="en-US" w:eastAsia="zh-CN" w:bidi="ar-SA"/>
              </w:rPr>
              <w:t>展位费</w:t>
            </w:r>
          </w:p>
        </w:tc>
        <w:tc>
          <w:tcPr>
            <w:tcW w:w="12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center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  <w:t>单开口</w:t>
            </w:r>
          </w:p>
        </w:tc>
        <w:tc>
          <w:tcPr>
            <w:tcW w:w="18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center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  <w:t>950新元/平米</w:t>
            </w:r>
          </w:p>
        </w:tc>
        <w:tc>
          <w:tcPr>
            <w:tcW w:w="411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>费用包括: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 xml:space="preserve">展位租金、墙板、地面铺装、公司名称及展位号、展台接电及电力供应、照明、展台基本家具、参展商胸卡、展台清洁等相关服务以及 MM-SH 提供的其他延伸服务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5" w:hRule="atLeast"/>
          <w:jc w:val="center"/>
        </w:trPr>
        <w:tc>
          <w:tcPr>
            <w:tcW w:w="99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159"/>
              <w:jc w:val="left"/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center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  <w:t>双开口</w:t>
            </w:r>
          </w:p>
        </w:tc>
        <w:tc>
          <w:tcPr>
            <w:tcW w:w="18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center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  <w:t>965新元/平米</w:t>
            </w:r>
          </w:p>
        </w:tc>
        <w:tc>
          <w:tcPr>
            <w:tcW w:w="4110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108"/>
              <w:jc w:val="left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99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left"/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8"/>
                <w:szCs w:val="28"/>
                <w:lang w:val="en-US" w:eastAsia="zh-CN" w:bidi="ar-SA"/>
              </w:rPr>
              <w:t>参展费</w:t>
            </w:r>
          </w:p>
        </w:tc>
        <w:tc>
          <w:tcPr>
            <w:tcW w:w="12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center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  <w:t>报名费</w:t>
            </w:r>
          </w:p>
        </w:tc>
        <w:tc>
          <w:tcPr>
            <w:tcW w:w="18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-95"/>
              <w:jc w:val="center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4"/>
                <w:szCs w:val="24"/>
                <w:lang w:val="en-US" w:eastAsia="zh-CN" w:bidi="ar-SA"/>
              </w:rPr>
              <w:t>600新元/企业</w:t>
            </w:r>
          </w:p>
        </w:tc>
        <w:tc>
          <w:tcPr>
            <w:tcW w:w="41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>费用包括：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>综合宣传费、邀请函费用、资料费、通信联络费、境</w:t>
            </w:r>
            <w:r>
              <w:rPr>
                <w:rFonts w:hint="default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>外汇款手续费等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31F20"/>
                <w:spacing w:val="-2"/>
                <w:kern w:val="2"/>
                <w:sz w:val="20"/>
                <w:szCs w:val="20"/>
                <w:lang w:val="en-US" w:eastAsia="zh-CN" w:bidi="ar-SA"/>
              </w:rPr>
              <w:t>。</w:t>
            </w: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单位账户：</w:t>
      </w:r>
    </w:p>
    <w:p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户 名：中湘海外建设发展有限公司</w:t>
      </w:r>
    </w:p>
    <w:p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开户行：建设银行芙蓉南路支行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帐  号：43050186423600000050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 xml:space="preserve">负 责 人：刘彬彬 杨柳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 xml:space="preserve">电 话：18711099250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 xml:space="preserve">微 信：18711099250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231F20"/>
          <w:spacing w:val="-2"/>
          <w:kern w:val="2"/>
          <w:sz w:val="28"/>
          <w:szCs w:val="28"/>
          <w:lang w:val="en-US" w:eastAsia="zh-CN" w:bidi="ar-SA"/>
        </w:rPr>
        <w:t>电子邮件：1173658175@qq.com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2154" w:right="1531" w:bottom="1417" w:left="1531" w:header="851" w:footer="850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简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-969645</wp:posOffset>
          </wp:positionH>
          <wp:positionV relativeFrom="paragraph">
            <wp:posOffset>-548640</wp:posOffset>
          </wp:positionV>
          <wp:extent cx="7562215" cy="10685145"/>
          <wp:effectExtent l="0" t="0" r="635" b="1905"/>
          <wp:wrapNone/>
          <wp:docPr id="1" name="图片 1" descr="D:\2023年8月份\0808信纸_00.png0808信纸_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D:\2023年8月份\0808信纸_00.png0808信纸_00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068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B6EE80"/>
    <w:multiLevelType w:val="singleLevel"/>
    <w:tmpl w:val="87B6EE8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8A8D64C5"/>
    <w:multiLevelType w:val="singleLevel"/>
    <w:tmpl w:val="8A8D64C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013D1E16"/>
    <w:multiLevelType w:val="singleLevel"/>
    <w:tmpl w:val="013D1E16"/>
    <w:lvl w:ilvl="0" w:tentative="0">
      <w:start w:val="4"/>
      <w:numFmt w:val="decimal"/>
      <w:suff w:val="nothing"/>
      <w:lvlText w:val="（%1）"/>
      <w:lvlJc w:val="left"/>
    </w:lvl>
  </w:abstractNum>
  <w:abstractNum w:abstractNumId="3">
    <w:nsid w:val="1292157B"/>
    <w:multiLevelType w:val="singleLevel"/>
    <w:tmpl w:val="1292157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2MTZjNjM1MGIxNzFmNTZjYjhkNzNiNmY2ODY5NzkifQ=="/>
  </w:docVars>
  <w:rsids>
    <w:rsidRoot w:val="360D752A"/>
    <w:rsid w:val="08596538"/>
    <w:rsid w:val="088B3AD7"/>
    <w:rsid w:val="0A531578"/>
    <w:rsid w:val="0AE1725E"/>
    <w:rsid w:val="0B625470"/>
    <w:rsid w:val="0B75441D"/>
    <w:rsid w:val="0DD92AF3"/>
    <w:rsid w:val="0FA521A9"/>
    <w:rsid w:val="121F3DF6"/>
    <w:rsid w:val="126B2BAF"/>
    <w:rsid w:val="166D3379"/>
    <w:rsid w:val="1C630119"/>
    <w:rsid w:val="1FD83E05"/>
    <w:rsid w:val="200A35A2"/>
    <w:rsid w:val="26CF262C"/>
    <w:rsid w:val="26DF6836"/>
    <w:rsid w:val="27B72844"/>
    <w:rsid w:val="2970011F"/>
    <w:rsid w:val="2D034F87"/>
    <w:rsid w:val="2D9A1EDA"/>
    <w:rsid w:val="2DA45FE4"/>
    <w:rsid w:val="324A32DA"/>
    <w:rsid w:val="360D752A"/>
    <w:rsid w:val="3684032E"/>
    <w:rsid w:val="3D9D1F07"/>
    <w:rsid w:val="42180FAD"/>
    <w:rsid w:val="43B9457F"/>
    <w:rsid w:val="4BA03D7F"/>
    <w:rsid w:val="4CB97CC0"/>
    <w:rsid w:val="512246CA"/>
    <w:rsid w:val="51513CAE"/>
    <w:rsid w:val="528F5E6A"/>
    <w:rsid w:val="52EF4F5B"/>
    <w:rsid w:val="56532BA8"/>
    <w:rsid w:val="57EE2C23"/>
    <w:rsid w:val="58D53D9E"/>
    <w:rsid w:val="5FDB3ACE"/>
    <w:rsid w:val="60F032FA"/>
    <w:rsid w:val="65A540CC"/>
    <w:rsid w:val="69BB3439"/>
    <w:rsid w:val="729F7BFF"/>
    <w:rsid w:val="75627759"/>
    <w:rsid w:val="75F27EAE"/>
    <w:rsid w:val="76C8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方正仿宋_GBK" w:eastAsia="方正仿宋_GBK"/>
      <w:b/>
      <w:bCs/>
      <w:sz w:val="30"/>
    </w:rPr>
  </w:style>
  <w:style w:type="paragraph" w:styleId="3">
    <w:name w:val="toc 5"/>
    <w:basedOn w:val="1"/>
    <w:next w:val="1"/>
    <w:autoRedefine/>
    <w:unhideWhenUsed/>
    <w:qFormat/>
    <w:uiPriority w:val="0"/>
    <w:pPr>
      <w:ind w:left="1680" w:leftChars="800"/>
    </w:pPr>
    <w:rPr>
      <w:rFonts w:ascii="Times New Roman" w:hAnsi="Times New Roman"/>
    </w:rPr>
  </w:style>
  <w:style w:type="paragraph" w:styleId="5">
    <w:name w:val="Body Text Indent"/>
    <w:basedOn w:val="1"/>
    <w:autoRedefine/>
    <w:qFormat/>
    <w:uiPriority w:val="0"/>
    <w:pPr>
      <w:ind w:firstLine="480"/>
    </w:pPr>
    <w:rPr>
      <w:sz w:val="24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5"/>
    <w:next w:val="1"/>
    <w:qFormat/>
    <w:uiPriority w:val="0"/>
    <w:pPr>
      <w:snapToGrid w:val="0"/>
      <w:spacing w:beforeAutospacing="0" w:line="560" w:lineRule="exact"/>
      <w:ind w:firstLine="420" w:firstLineChars="200"/>
    </w:pPr>
    <w:rPr>
      <w:rFonts w:ascii="Times New Roman" w:hAnsi="Times New Roman" w:eastAsia="仿宋" w:cs="Times New Roman"/>
      <w:sz w:val="32"/>
    </w:rPr>
  </w:style>
  <w:style w:type="character" w:styleId="11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2">
    <w:name w:val="table of figures1"/>
    <w:basedOn w:val="1"/>
    <w:next w:val="1"/>
    <w:autoRedefine/>
    <w:qFormat/>
    <w:uiPriority w:val="99"/>
    <w:pPr>
      <w:ind w:left="200" w:leftChars="200" w:hanging="200" w:hangingChars="200"/>
    </w:pPr>
  </w:style>
  <w:style w:type="paragraph" w:customStyle="1" w:styleId="13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1211</Words>
  <Characters>1359</Characters>
  <Lines>0</Lines>
  <Paragraphs>0</Paragraphs>
  <TotalTime>5</TotalTime>
  <ScaleCrop>false</ScaleCrop>
  <LinksUpToDate>false</LinksUpToDate>
  <CharactersWithSpaces>1397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2023-06-07T11:04:00Z</dcterms:created>
  <dc:creator>a周坚良a</dc:creator>
  <cp:lastModifiedBy>cofoe</cp:lastModifiedBy>
  <cp:lastPrinted>2023-06-27T07:39:00Z</cp:lastPrinted>
  <dcterms:modified xsi:type="dcterms:W3CDTF">2023-12-26T07:36:30Z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99FB7AD171D54D0B8950C322D463819E_13</vt:lpwstr>
  </property>
</Properties>
</file>