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outlineLvl w:val="9"/>
        <w:rPr>
          <w:rFonts w:hint="eastAsia" w:ascii="黑体" w:hAnsi="黑体" w:eastAsia="黑体" w:cs="黑体"/>
          <w:color w:val="000000"/>
          <w:kern w:val="0"/>
          <w:sz w:val="32"/>
          <w:szCs w:val="32"/>
          <w:lang w:bidi="ar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bidi="ar"/>
        </w:rPr>
        <w:t>附件1</w:t>
      </w:r>
    </w:p>
    <w:p>
      <w:pPr>
        <w:widowControl w:val="0"/>
        <w:outlineLvl w:val="9"/>
        <w:rPr>
          <w:rFonts w:ascii="Times New Roman" w:hAnsi="Times New Roman"/>
          <w:color w:val="000000"/>
          <w:kern w:val="0"/>
          <w:sz w:val="31"/>
          <w:szCs w:val="31"/>
          <w:lang w:bidi="ar"/>
        </w:rPr>
      </w:pPr>
    </w:p>
    <w:p>
      <w:pPr>
        <w:widowControl w:val="0"/>
        <w:jc w:val="center"/>
        <w:outlineLvl w:val="9"/>
        <w:rPr>
          <w:rFonts w:hint="eastAsia" w:ascii="方正小标宋_GBK" w:hAnsi="方正小标宋_GBK" w:eastAsia="方正小标宋_GBK" w:cs="方正小标宋_GBK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0"/>
          <w:szCs w:val="40"/>
          <w:lang w:bidi="ar"/>
        </w:rPr>
        <w:t>第十五届全省生态环境监测专业技术人员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0"/>
          <w:szCs w:val="40"/>
          <w:lang w:bidi="ar"/>
        </w:rPr>
        <w:br w:type="textWrapping"/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0"/>
          <w:szCs w:val="40"/>
          <w:lang w:bidi="ar"/>
        </w:rPr>
        <w:t>分析技能竞赛技术方案</w:t>
      </w:r>
    </w:p>
    <w:p>
      <w:pPr>
        <w:widowControl/>
        <w:ind w:firstLine="620" w:firstLineChars="200"/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</w:p>
    <w:p>
      <w:pPr>
        <w:widowControl/>
        <w:ind w:firstLine="620" w:firstLineChars="200"/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为做好第十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五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届全省生态环境监测专业技术人员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分析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技能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竞赛，制定本方案。</w:t>
      </w:r>
    </w:p>
    <w:p>
      <w:pPr>
        <w:widowControl/>
        <w:ind w:firstLine="620" w:firstLineChars="200"/>
      </w:pPr>
      <w:r>
        <w:rPr>
          <w:rFonts w:ascii="黑体" w:hAnsi="宋体" w:eastAsia="黑体" w:cs="黑体"/>
          <w:color w:val="000000"/>
          <w:kern w:val="0"/>
          <w:sz w:val="31"/>
          <w:szCs w:val="31"/>
          <w:lang w:bidi="ar"/>
        </w:rPr>
        <w:t>一、理论知识考试方案</w:t>
      </w:r>
    </w:p>
    <w:p>
      <w:pPr>
        <w:widowControl/>
        <w:ind w:firstLine="620" w:firstLineChars="200"/>
      </w:pPr>
      <w:r>
        <w:rPr>
          <w:rFonts w:ascii="楷体_GB2312" w:hAnsi="楷体_GB2312" w:eastAsia="楷体_GB2312" w:cs="楷体_GB2312"/>
          <w:color w:val="000000"/>
          <w:kern w:val="0"/>
          <w:sz w:val="31"/>
          <w:szCs w:val="31"/>
          <w:lang w:bidi="ar"/>
        </w:rPr>
        <w:t>（一）考试要求及重点内容</w:t>
      </w:r>
    </w:p>
    <w:p>
      <w:pPr>
        <w:widowControl/>
        <w:ind w:firstLine="620" w:firstLineChars="200"/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1. 生态环境监测形势与政策、生态环境保护基本知识和生态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环境监测基础知识等。</w:t>
      </w:r>
    </w:p>
    <w:p>
      <w:pPr>
        <w:widowControl/>
        <w:ind w:firstLine="620" w:firstLineChars="200"/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 xml:space="preserve">2. </w:t>
      </w:r>
      <w:r>
        <w:rPr>
          <w:rFonts w:hint="eastAsia" w:ascii="仿宋_GB2312" w:hAnsi="宋体" w:eastAsia="仿宋_GB2312" w:cs="仿宋_GB2312"/>
          <w:b/>
          <w:color w:val="000000"/>
          <w:kern w:val="0"/>
          <w:sz w:val="31"/>
          <w:szCs w:val="31"/>
          <w:lang w:bidi="ar"/>
        </w:rPr>
        <w:t>掌握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地表水、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地下水、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大气、土壤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、固体废物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和污染源监测布点、采样、样品保存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及运输的基本内容；实验室基本知识；容量分析的原理及应用；气相色谱（质谱）法、分光光度法和原子吸收光谱法的基本原理及其应用。</w:t>
      </w:r>
      <w:r>
        <w:rPr>
          <w:rFonts w:hint="eastAsia" w:ascii="仿宋_GB2312" w:hAnsi="宋体" w:eastAsia="仿宋_GB2312" w:cs="仿宋_GB2312"/>
          <w:b/>
          <w:color w:val="000000"/>
          <w:kern w:val="0"/>
          <w:sz w:val="31"/>
          <w:szCs w:val="31"/>
          <w:lang w:bidi="ar"/>
        </w:rPr>
        <w:t>熟悉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原子荧光光谱法、液相色谱法、离子色谱法、离子选择电极法、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电感耦合等离子体发射光谱法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和电感耦合等离子质谱法的基本原理和应用；</w:t>
      </w:r>
      <w:r>
        <w:rPr>
          <w:rFonts w:hint="eastAsia" w:ascii="仿宋_GB2312" w:hAnsi="宋体" w:eastAsia="仿宋_GB2312" w:cs="仿宋_GB2312"/>
          <w:b/>
          <w:color w:val="000000"/>
          <w:kern w:val="0"/>
          <w:sz w:val="31"/>
          <w:szCs w:val="31"/>
          <w:lang w:bidi="ar"/>
        </w:rPr>
        <w:t>了解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应急监测技术方法；声、生态（含生物）监测技术；生态环境监测数据处理方法。</w:t>
      </w:r>
    </w:p>
    <w:p>
      <w:pPr>
        <w:widowControl/>
        <w:ind w:firstLine="620" w:firstLineChars="200"/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 xml:space="preserve">3. </w:t>
      </w:r>
      <w:r>
        <w:rPr>
          <w:rFonts w:hint="eastAsia" w:ascii="仿宋_GB2312" w:hAnsi="宋体" w:eastAsia="仿宋_GB2312" w:cs="仿宋_GB2312"/>
          <w:b/>
          <w:color w:val="000000"/>
          <w:kern w:val="0"/>
          <w:sz w:val="31"/>
          <w:szCs w:val="31"/>
          <w:lang w:bidi="ar"/>
        </w:rPr>
        <w:t>掌握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质量管理规章制度和基本要求；质量管理体系基本概念和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基础知识。</w:t>
      </w:r>
      <w:r>
        <w:rPr>
          <w:rFonts w:hint="eastAsia" w:ascii="仿宋_GB2312" w:hAnsi="宋体" w:eastAsia="仿宋_GB2312" w:cs="仿宋_GB2312"/>
          <w:b/>
          <w:color w:val="000000"/>
          <w:kern w:val="0"/>
          <w:sz w:val="31"/>
          <w:szCs w:val="31"/>
          <w:lang w:bidi="ar"/>
        </w:rPr>
        <w:t>熟悉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检验检测机构资质认定通用要求和生态环境监测机构补充要求；生态环境监测全过程中质量保证和质量控制技术措施和应用。</w:t>
      </w:r>
      <w:r>
        <w:rPr>
          <w:rFonts w:hint="eastAsia" w:ascii="仿宋_GB2312" w:hAnsi="宋体" w:eastAsia="仿宋_GB2312" w:cs="仿宋_GB2312"/>
          <w:b/>
          <w:color w:val="000000"/>
          <w:kern w:val="0"/>
          <w:sz w:val="31"/>
          <w:szCs w:val="31"/>
          <w:lang w:bidi="ar"/>
        </w:rPr>
        <w:t>了解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常用数理统计基础知识。</w:t>
      </w:r>
    </w:p>
    <w:p>
      <w:pPr>
        <w:widowControl/>
        <w:ind w:firstLine="620" w:firstLineChars="200"/>
      </w:pPr>
      <w:r>
        <w:rPr>
          <w:rFonts w:ascii="楷体_GB2312" w:hAnsi="楷体_GB2312" w:eastAsia="楷体_GB2312" w:cs="楷体_GB2312"/>
          <w:color w:val="000000"/>
          <w:kern w:val="0"/>
          <w:sz w:val="31"/>
          <w:szCs w:val="31"/>
          <w:lang w:bidi="ar"/>
        </w:rPr>
        <w:t>（二）考试形式和题型</w:t>
      </w:r>
    </w:p>
    <w:p>
      <w:pPr>
        <w:widowControl/>
        <w:ind w:firstLine="620" w:firstLineChars="200"/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考试采用闭卷方式，考试时间为120分钟，满分100分。题型包括：填空题、选择题、判断题、简答题、计算题和论述题等。</w:t>
      </w:r>
    </w:p>
    <w:p>
      <w:pPr>
        <w:widowControl/>
        <w:ind w:firstLine="620" w:firstLineChars="200"/>
      </w:pPr>
      <w:r>
        <w:rPr>
          <w:rFonts w:ascii="楷体_GB2312" w:hAnsi="楷体_GB2312" w:eastAsia="楷体_GB2312" w:cs="楷体_GB2312"/>
          <w:color w:val="000000"/>
          <w:kern w:val="0"/>
          <w:sz w:val="31"/>
          <w:szCs w:val="31"/>
          <w:lang w:bidi="ar"/>
        </w:rPr>
        <w:t xml:space="preserve">（三）评分方法 </w:t>
      </w:r>
    </w:p>
    <w:p>
      <w:pPr>
        <w:widowControl/>
        <w:ind w:firstLine="620" w:firstLineChars="200"/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考试结束后，由阅卷入员根据试题答案和评分细则，在监督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委员会的监督下，对每名参赛选手的答卷进行统一评判。各参赛队如需在现场操作竞赛项目中启用经备案的替补人员时，该替补人员必须参加理论考试。</w:t>
      </w:r>
    </w:p>
    <w:p>
      <w:pPr>
        <w:widowControl/>
        <w:ind w:firstLine="620" w:firstLineChars="200"/>
      </w:pPr>
      <w:r>
        <w:rPr>
          <w:rFonts w:ascii="黑体" w:hAnsi="宋体" w:eastAsia="黑体" w:cs="黑体"/>
          <w:color w:val="000000"/>
          <w:kern w:val="0"/>
          <w:sz w:val="31"/>
          <w:szCs w:val="31"/>
          <w:lang w:bidi="ar"/>
        </w:rPr>
        <w:t>二、现场操作竞赛方案</w:t>
      </w:r>
    </w:p>
    <w:p>
      <w:pPr>
        <w:widowControl/>
        <w:ind w:firstLine="620" w:firstLineChars="200"/>
      </w:pPr>
      <w:r>
        <w:rPr>
          <w:rFonts w:ascii="楷体_GB2312" w:hAnsi="楷体_GB2312" w:eastAsia="楷体_GB2312" w:cs="楷体_GB2312"/>
          <w:color w:val="000000"/>
          <w:kern w:val="0"/>
          <w:sz w:val="31"/>
          <w:szCs w:val="31"/>
          <w:lang w:bidi="ar"/>
        </w:rPr>
        <w:t>（一）竞赛项目及竞赛时长</w:t>
      </w:r>
    </w:p>
    <w:p>
      <w:pPr>
        <w:widowControl/>
        <w:ind w:firstLine="620" w:firstLineChars="200"/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为体现生态环境监测五个统一，并基于环境要素较全面、监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测分析方法类别广泛、竞赛项目为日常工作中重点及难点项目、能切实反映人员的技术水平、所需各种条件易于保障、对现场人员及环境影响小等原则，现场操作竞赛拟设以下3个项目：</w:t>
      </w:r>
    </w:p>
    <w:p>
      <w:pPr>
        <w:widowControl/>
        <w:ind w:firstLine="622" w:firstLineChars="200"/>
      </w:pPr>
      <w:r>
        <w:rPr>
          <w:rFonts w:ascii="仿宋_GB2312" w:hAnsi="宋体" w:eastAsia="仿宋_GB2312" w:cs="仿宋_GB2312"/>
          <w:b/>
          <w:bCs/>
          <w:color w:val="000000"/>
          <w:kern w:val="0"/>
          <w:sz w:val="31"/>
          <w:szCs w:val="31"/>
          <w:lang w:bidi="ar"/>
        </w:rPr>
        <w:t>1</w:t>
      </w:r>
      <w:r>
        <w:rPr>
          <w:rFonts w:hint="eastAsia" w:ascii="仿宋_GB2312" w:hAnsi="宋体" w:eastAsia="仿宋_GB2312" w:cs="仿宋_GB2312"/>
          <w:b/>
          <w:bCs/>
          <w:color w:val="000000"/>
          <w:kern w:val="0"/>
          <w:sz w:val="31"/>
          <w:szCs w:val="31"/>
          <w:lang w:bidi="ar"/>
        </w:rPr>
        <w:t>.容量</w:t>
      </w:r>
      <w:r>
        <w:rPr>
          <w:rFonts w:ascii="仿宋_GB2312" w:hAnsi="宋体" w:eastAsia="仿宋_GB2312" w:cs="仿宋_GB2312"/>
          <w:b/>
          <w:bCs/>
          <w:color w:val="000000"/>
          <w:kern w:val="0"/>
          <w:sz w:val="31"/>
          <w:szCs w:val="31"/>
          <w:lang w:bidi="ar"/>
        </w:rPr>
        <w:t>法测定水中</w:t>
      </w:r>
      <w:r>
        <w:rPr>
          <w:rFonts w:hint="eastAsia" w:ascii="仿宋_GB2312" w:hAnsi="宋体" w:eastAsia="仿宋_GB2312" w:cs="仿宋_GB2312"/>
          <w:b/>
          <w:bCs/>
          <w:color w:val="000000"/>
          <w:kern w:val="0"/>
          <w:sz w:val="31"/>
          <w:szCs w:val="31"/>
          <w:lang w:bidi="ar"/>
        </w:rPr>
        <w:t>总硬度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方法依据：《水质 钙和镁总量的测定 EDTA滴定法》（GB 7477-87）。</w:t>
      </w:r>
    </w:p>
    <w:p>
      <w:pPr>
        <w:widowControl/>
        <w:ind w:firstLine="620" w:firstLineChars="200"/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竞赛时长：120分钟</w:t>
      </w:r>
    </w:p>
    <w:p>
      <w:pPr>
        <w:widowControl/>
        <w:ind w:firstLine="622" w:firstLineChars="200"/>
      </w:pPr>
      <w:r>
        <w:rPr>
          <w:rFonts w:hint="eastAsia" w:ascii="仿宋_GB2312" w:hAnsi="宋体" w:eastAsia="仿宋_GB2312" w:cs="仿宋_GB2312"/>
          <w:b/>
          <w:bCs/>
          <w:color w:val="000000"/>
          <w:kern w:val="0"/>
          <w:sz w:val="31"/>
          <w:szCs w:val="31"/>
          <w:lang w:bidi="ar"/>
        </w:rPr>
        <w:t>2.分光法测定环境空气中氮氧化物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方法依据：《环境空气 氮氧化物（一氧化氮和二氧化氮）的测定 盐酸萘乙二胺分光光度法》（HJ 479-2009）。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竞赛时长：100分钟</w:t>
      </w:r>
    </w:p>
    <w:p>
      <w:pPr>
        <w:widowControl/>
        <w:ind w:firstLine="622" w:firstLineChars="200"/>
        <w:rPr>
          <w:rFonts w:hint="eastAsia"/>
        </w:rPr>
      </w:pPr>
      <w:r>
        <w:rPr>
          <w:rFonts w:hint="eastAsia" w:ascii="仿宋_GB2312" w:hAnsi="宋体" w:eastAsia="仿宋_GB2312" w:cs="仿宋_GB2312"/>
          <w:b/>
          <w:bCs/>
          <w:color w:val="000000"/>
          <w:kern w:val="0"/>
          <w:sz w:val="31"/>
          <w:szCs w:val="31"/>
          <w:lang w:bidi="ar"/>
        </w:rPr>
        <w:t>3.电位法测定土壤中</w:t>
      </w:r>
      <w:r>
        <w:rPr>
          <w:rFonts w:ascii="仿宋_GB2312" w:hAnsi="宋体" w:eastAsia="仿宋_GB2312" w:cs="仿宋_GB2312"/>
          <w:b/>
          <w:bCs/>
          <w:color w:val="000000"/>
          <w:kern w:val="0"/>
          <w:sz w:val="31"/>
          <w:szCs w:val="31"/>
          <w:lang w:bidi="ar"/>
        </w:rPr>
        <w:t>pH</w:t>
      </w:r>
      <w:r>
        <w:rPr>
          <w:rFonts w:hint="eastAsia" w:ascii="仿宋_GB2312" w:hAnsi="宋体" w:eastAsia="仿宋_GB2312" w:cs="仿宋_GB2312"/>
          <w:b/>
          <w:bCs/>
          <w:color w:val="000000"/>
          <w:kern w:val="0"/>
          <w:sz w:val="31"/>
          <w:szCs w:val="31"/>
          <w:lang w:bidi="ar"/>
        </w:rPr>
        <w:t>值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方法依据：《土壤 pH值的测定 电位法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》（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HJ 962-2018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）。</w:t>
      </w:r>
    </w:p>
    <w:p>
      <w:pPr>
        <w:widowControl/>
        <w:ind w:firstLine="620" w:firstLineChars="200"/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竞赛时长：100分钟</w:t>
      </w:r>
    </w:p>
    <w:p>
      <w:pPr>
        <w:widowControl/>
        <w:ind w:firstLine="620" w:firstLineChars="200"/>
      </w:pPr>
      <w:r>
        <w:rPr>
          <w:rFonts w:ascii="楷体_GB2312" w:hAnsi="楷体_GB2312" w:eastAsia="楷体_GB2312" w:cs="楷体_GB2312"/>
          <w:color w:val="000000"/>
          <w:kern w:val="0"/>
          <w:sz w:val="31"/>
          <w:szCs w:val="31"/>
          <w:lang w:bidi="ar"/>
        </w:rPr>
        <w:t>（二）竞赛方式</w:t>
      </w:r>
    </w:p>
    <w:p>
      <w:pPr>
        <w:widowControl/>
        <w:ind w:firstLine="620" w:firstLineChars="200"/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现场操作竞赛采用场内分组集中的方式进行。每支代表队正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式参赛人员3名（可备份1名）及个人参赛人员均需独立完成3个现场操作竞赛项目的比赛。现场操作竞赛共分3轮，每轮每名正式参赛人员进行1个项目的比武，然后轮换进行其余项目，直至完成所有比武项目。</w:t>
      </w:r>
    </w:p>
    <w:p>
      <w:pPr>
        <w:widowControl/>
        <w:ind w:firstLine="620" w:firstLineChars="200"/>
      </w:pPr>
      <w:r>
        <w:rPr>
          <w:rFonts w:ascii="楷体_GB2312" w:hAnsi="楷体_GB2312" w:eastAsia="楷体_GB2312" w:cs="楷体_GB2312"/>
          <w:color w:val="000000"/>
          <w:kern w:val="0"/>
          <w:sz w:val="31"/>
          <w:szCs w:val="31"/>
          <w:lang w:bidi="ar"/>
        </w:rPr>
        <w:t>（四）评分方法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现场操作竞赛评分依据主要以样品分析结果的准确性和平行性为主，辅以考察参赛人员的操作规范性及原始记录、结果报告的规范性。具体评分细则另行制定。比武期间，现场设有监督员。比武队员一经发现有违纪行为，由监督员带离比武现场，该违纪人员的本项比武成绩按零分计算。</w:t>
      </w:r>
    </w:p>
    <w:p>
      <w:pPr>
        <w:widowControl/>
        <w:ind w:firstLine="620" w:firstLineChars="200"/>
      </w:pPr>
      <w:r>
        <w:rPr>
          <w:rFonts w:ascii="楷体_GB2312" w:hAnsi="楷体_GB2312" w:eastAsia="楷体_GB2312" w:cs="楷体_GB2312"/>
          <w:color w:val="000000"/>
          <w:kern w:val="0"/>
          <w:sz w:val="31"/>
          <w:szCs w:val="31"/>
          <w:lang w:bidi="ar"/>
        </w:rPr>
        <w:t>（五）现场操作竞赛物资准备</w:t>
      </w:r>
    </w:p>
    <w:p>
      <w:pPr>
        <w:widowControl/>
        <w:ind w:firstLine="622" w:firstLineChars="200"/>
      </w:pPr>
      <w:r>
        <w:rPr>
          <w:rFonts w:ascii="仿宋_GB2312" w:hAnsi="宋体" w:eastAsia="仿宋_GB2312" w:cs="仿宋_GB2312"/>
          <w:b/>
          <w:bCs/>
          <w:color w:val="000000"/>
          <w:kern w:val="0"/>
          <w:sz w:val="31"/>
          <w:szCs w:val="31"/>
          <w:lang w:bidi="ar"/>
        </w:rPr>
        <w:t>1.组委会提供物资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实验场地、外接电源供给、洗涤用水、废液桶、考核样。</w:t>
      </w:r>
    </w:p>
    <w:p>
      <w:pPr>
        <w:widowControl/>
        <w:ind w:firstLine="622" w:firstLineChars="200"/>
      </w:pPr>
      <w:r>
        <w:rPr>
          <w:rFonts w:hint="eastAsia" w:ascii="仿宋_GB2312" w:hAnsi="宋体" w:eastAsia="仿宋_GB2312" w:cs="仿宋_GB2312"/>
          <w:b/>
          <w:bCs/>
          <w:color w:val="000000"/>
          <w:kern w:val="0"/>
          <w:sz w:val="31"/>
          <w:szCs w:val="31"/>
          <w:lang w:bidi="ar"/>
        </w:rPr>
        <w:t>2.禁用物资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各种文字材料、设备服务模块、移液枪等自动、半自动移液、配液及滴定等实验装置。</w:t>
      </w:r>
    </w:p>
    <w:p>
      <w:pPr>
        <w:widowControl/>
        <w:ind w:firstLine="622" w:firstLineChars="200"/>
      </w:pPr>
      <w:r>
        <w:rPr>
          <w:rFonts w:hint="eastAsia" w:ascii="仿宋_GB2312" w:hAnsi="宋体" w:eastAsia="仿宋_GB2312" w:cs="仿宋_GB2312"/>
          <w:b/>
          <w:bCs/>
          <w:color w:val="000000"/>
          <w:kern w:val="0"/>
          <w:sz w:val="31"/>
          <w:szCs w:val="31"/>
          <w:lang w:bidi="ar"/>
        </w:rPr>
        <w:t>3.自带物资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除组委会提供的物资外，实验所需可见分光光度计及其他仪器设备、器皿量器、纯水、试剂材料、记录、标签、计算器等其他物资均由各代表队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自行准备。</w:t>
      </w:r>
    </w:p>
    <w:p>
      <w:pPr>
        <w:widowControl/>
        <w:ind w:firstLine="620" w:firstLineChars="200"/>
      </w:pPr>
      <w:r>
        <w:rPr>
          <w:rFonts w:ascii="黑体" w:hAnsi="宋体" w:eastAsia="黑体" w:cs="黑体"/>
          <w:color w:val="000000"/>
          <w:kern w:val="0"/>
          <w:sz w:val="31"/>
          <w:szCs w:val="31"/>
          <w:lang w:bidi="ar"/>
        </w:rPr>
        <w:t>三、</w:t>
      </w: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bidi="ar"/>
        </w:rPr>
        <w:t>分析技能竞赛</w:t>
      </w:r>
      <w:r>
        <w:rPr>
          <w:rFonts w:ascii="黑体" w:hAnsi="宋体" w:eastAsia="黑体" w:cs="黑体"/>
          <w:color w:val="000000"/>
          <w:kern w:val="0"/>
          <w:sz w:val="31"/>
          <w:szCs w:val="31"/>
          <w:lang w:bidi="ar"/>
        </w:rPr>
        <w:t xml:space="preserve">赛程 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本届分析技能竞赛决赛赛程共</w:t>
      </w:r>
      <w:r>
        <w:rPr>
          <w:rFonts w:ascii="Times New Roman" w:hAnsi="Times New Roman"/>
          <w:color w:val="000000"/>
          <w:kern w:val="0"/>
          <w:sz w:val="31"/>
          <w:szCs w:val="31"/>
          <w:lang w:bidi="ar"/>
        </w:rPr>
        <w:t>3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天。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第一天 上午：报到，召开赛前答疑会；</w:t>
      </w:r>
    </w:p>
    <w:p>
      <w:pPr>
        <w:widowControl/>
        <w:ind w:firstLine="1630" w:firstLineChars="526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下午：理论知识考试（集中进行）；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第二天 全天：现场操作竞赛（分组进行）；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第三天 上午：现场操作竞赛（分组进行）；</w:t>
      </w:r>
    </w:p>
    <w:p>
      <w:pPr>
        <w:widowControl/>
        <w:ind w:firstLine="1705" w:firstLineChars="550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下午：闭幕式，颁奖。</w:t>
      </w:r>
    </w:p>
    <w:p>
      <w:pPr>
        <w:widowControl/>
        <w:ind w:firstLine="1705" w:firstLineChars="550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</w:p>
    <w:p>
      <w:pPr>
        <w:widowControl/>
        <w:ind w:firstLine="1705" w:firstLineChars="550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</w:p>
    <w:p>
      <w:pPr>
        <w:widowControl/>
        <w:ind w:firstLine="1705" w:firstLineChars="550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</w:p>
    <w:p>
      <w:pPr>
        <w:widowControl/>
        <w:ind w:firstLine="1705" w:firstLineChars="550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</w:p>
    <w:p>
      <w:pPr>
        <w:widowControl/>
        <w:ind w:firstLine="1705" w:firstLineChars="550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</w:p>
    <w:p>
      <w:pPr>
        <w:widowControl/>
        <w:ind w:firstLine="1705" w:firstLineChars="550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</w:p>
    <w:p>
      <w:pPr>
        <w:widowControl/>
        <w:ind w:firstLine="1705" w:firstLineChars="550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</w:p>
    <w:p>
      <w:pPr>
        <w:widowControl/>
        <w:ind w:firstLine="1705" w:firstLineChars="550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</w:p>
    <w:p>
      <w:pPr>
        <w:widowControl/>
        <w:ind w:firstLine="1705" w:firstLineChars="550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</w:p>
    <w:p>
      <w:pPr>
        <w:widowControl/>
        <w:outlineLvl w:val="1"/>
        <w:rPr>
          <w:rFonts w:hint="eastAsia" w:ascii="宋体" w:hAnsi="宋体" w:cs="宋体"/>
          <w:color w:val="000000"/>
          <w:kern w:val="0"/>
          <w:sz w:val="31"/>
          <w:szCs w:val="31"/>
          <w:lang w:bidi="ar"/>
        </w:rPr>
      </w:pPr>
    </w:p>
    <w:p>
      <w:pPr>
        <w:widowControl/>
        <w:outlineLvl w:val="1"/>
        <w:rPr>
          <w:rFonts w:hint="eastAsia" w:ascii="黑体" w:hAnsi="黑体" w:eastAsia="黑体" w:cs="黑体"/>
          <w:color w:val="000000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bidi="ar"/>
        </w:rPr>
        <w:t>附件2</w:t>
      </w:r>
    </w:p>
    <w:p>
      <w:pPr>
        <w:widowControl/>
        <w:outlineLvl w:val="1"/>
        <w:rPr>
          <w:rFonts w:hint="eastAsia" w:ascii="黑体" w:hAnsi="黑体" w:eastAsia="黑体" w:cs="黑体"/>
          <w:sz w:val="32"/>
          <w:szCs w:val="32"/>
        </w:rPr>
      </w:pPr>
    </w:p>
    <w:p>
      <w:pPr>
        <w:widowControl/>
        <w:ind w:left="0" w:leftChars="0" w:firstLine="0" w:firstLineChars="0"/>
        <w:jc w:val="center"/>
        <w:outlineLvl w:val="2"/>
        <w:rPr>
          <w:rFonts w:hint="eastAsia" w:ascii="方正小标宋_GBK" w:hAnsi="方正小标宋_GBK" w:eastAsia="方正小标宋_GBK" w:cs="方正小标宋_GBK"/>
          <w:color w:val="000000"/>
          <w:kern w:val="0"/>
          <w:sz w:val="40"/>
          <w:szCs w:val="40"/>
          <w:lang w:bidi="ar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0"/>
          <w:szCs w:val="40"/>
          <w:lang w:bidi="ar"/>
        </w:rPr>
        <w:t>第十五届全省生态环境监测专业技术人员执法与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0"/>
          <w:szCs w:val="40"/>
          <w:lang w:bidi="ar"/>
        </w:rPr>
        <w:br w:type="textWrapping"/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0"/>
          <w:szCs w:val="40"/>
          <w:lang w:bidi="ar"/>
        </w:rPr>
        <w:t>应急监测比武技术方案</w:t>
      </w:r>
    </w:p>
    <w:p>
      <w:pPr>
        <w:widowControl/>
        <w:ind w:firstLine="620" w:firstLineChars="200"/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</w:p>
    <w:p>
      <w:pPr>
        <w:widowControl/>
        <w:ind w:firstLine="620" w:firstLineChars="200"/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为做好第十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五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届全省生态环境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执法与应急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监测专业技术人员大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比武，制定本方案。</w:t>
      </w:r>
    </w:p>
    <w:p>
      <w:pPr>
        <w:widowControl/>
        <w:numPr>
          <w:ilvl w:val="0"/>
          <w:numId w:val="1"/>
        </w:numPr>
        <w:ind w:firstLine="620" w:firstLineChars="200"/>
        <w:rPr>
          <w:rFonts w:hint="eastAsia" w:ascii="黑体" w:hAnsi="宋体" w:eastAsia="黑体" w:cs="黑体"/>
          <w:color w:val="000000"/>
          <w:kern w:val="0"/>
          <w:sz w:val="31"/>
          <w:szCs w:val="31"/>
          <w:lang w:bidi="ar"/>
        </w:rPr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bidi="ar"/>
        </w:rPr>
        <w:t>紧急拉动</w:t>
      </w:r>
    </w:p>
    <w:p>
      <w:pPr>
        <w:widowControl/>
        <w:ind w:firstLine="620" w:firstLineChars="200"/>
        <w:rPr>
          <w:rFonts w:hint="default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组织形式</w:t>
      </w:r>
      <w:r>
        <w:rPr>
          <w:rFonts w:hint="default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：考核组临机下达应急监测任务，各参赛队在确保在30分钟内按照规定的人数、携带符合要求的装设备到指定地点集结。</w:t>
      </w:r>
    </w:p>
    <w:p>
      <w:pPr>
        <w:widowControl/>
        <w:ind w:firstLine="620" w:firstLineChars="200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</w:pPr>
      <w:r>
        <w:rPr>
          <w:rFonts w:hint="default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要求：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1.应急出动一次不得少于4人；省及驻市州生态环境监测中心拟组织两次出动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t>；</w:t>
      </w:r>
    </w:p>
    <w:p>
      <w:pPr>
        <w:widowControl/>
        <w:numPr>
          <w:ilvl w:val="0"/>
          <w:numId w:val="2"/>
        </w:numPr>
        <w:ind w:firstLine="620" w:firstLineChars="200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按照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t>事件发生情况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携带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t>相应监测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装设备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t>；</w:t>
      </w:r>
    </w:p>
    <w:p>
      <w:pPr>
        <w:widowControl/>
        <w:numPr>
          <w:ilvl w:val="0"/>
          <w:numId w:val="2"/>
        </w:numPr>
        <w:ind w:firstLine="620" w:firstLineChars="200"/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所有装设备必须有合格的检定证书，并完成校准。</w:t>
      </w:r>
    </w:p>
    <w:p>
      <w:pPr>
        <w:widowControl/>
        <w:ind w:firstLine="620" w:firstLineChars="200"/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bidi="ar"/>
        </w:rPr>
        <w:t>二、想定</w:t>
      </w:r>
      <w:r>
        <w:rPr>
          <w:rFonts w:ascii="黑体" w:hAnsi="宋体" w:eastAsia="黑体" w:cs="黑体"/>
          <w:color w:val="000000"/>
          <w:kern w:val="0"/>
          <w:sz w:val="31"/>
          <w:szCs w:val="31"/>
          <w:lang w:bidi="ar"/>
        </w:rPr>
        <w:t>作业</w:t>
      </w:r>
    </w:p>
    <w:p>
      <w:pPr>
        <w:widowControl/>
        <w:ind w:firstLine="620" w:firstLineChars="200"/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（一）情景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设置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：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以文字加地形图的方式提供背景材料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。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（二）比赛模式：各参赛队2人一组，根据设定的背景材料，在规定时间内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t>开卷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完成监测方案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t>（可自备参考资料，但不能携带手机等通讯电子设备等）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。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（三）比赛时间：120分钟。</w:t>
      </w:r>
    </w:p>
    <w:p>
      <w:pPr>
        <w:widowControl/>
        <w:ind w:firstLine="620" w:firstLineChars="200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（四）考核指标要求：执法/应急监测方案中监测布点准确、监测因子恰当、监测频次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t>符合规定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。</w:t>
      </w:r>
    </w:p>
    <w:p>
      <w:pPr>
        <w:widowControl/>
        <w:ind w:firstLine="620" w:firstLineChars="200"/>
        <w:rPr>
          <w:rFonts w:ascii="黑体" w:hAnsi="宋体" w:eastAsia="黑体" w:cs="黑体"/>
          <w:color w:val="000000"/>
          <w:kern w:val="0"/>
          <w:sz w:val="31"/>
          <w:szCs w:val="31"/>
          <w:lang w:bidi="ar"/>
        </w:rPr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bidi="ar"/>
        </w:rPr>
        <w:t>三</w:t>
      </w:r>
      <w:r>
        <w:rPr>
          <w:rFonts w:ascii="黑体" w:hAnsi="宋体" w:eastAsia="黑体" w:cs="黑体"/>
          <w:color w:val="000000"/>
          <w:kern w:val="0"/>
          <w:sz w:val="31"/>
          <w:szCs w:val="31"/>
          <w:lang w:bidi="ar"/>
        </w:rPr>
        <w:t>、</w:t>
      </w: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bidi="ar"/>
        </w:rPr>
        <w:t>分析研判</w:t>
      </w:r>
    </w:p>
    <w:p>
      <w:pPr>
        <w:widowControl/>
        <w:ind w:firstLine="620" w:firstLineChars="200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组织形式：以执法监测为重点，录制执法监测视频进行播放，要求参赛在规定的时间找出示例中存在问题。</w:t>
      </w:r>
    </w:p>
    <w:p>
      <w:pPr>
        <w:widowControl/>
        <w:ind w:firstLine="620" w:firstLineChars="200"/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bidi="ar"/>
        </w:rPr>
        <w:t>三、</w:t>
      </w:r>
      <w:r>
        <w:rPr>
          <w:rFonts w:ascii="黑体" w:hAnsi="宋体" w:eastAsia="黑体" w:cs="黑体"/>
          <w:color w:val="000000"/>
          <w:kern w:val="0"/>
          <w:sz w:val="31"/>
          <w:szCs w:val="31"/>
          <w:lang w:bidi="ar"/>
        </w:rPr>
        <w:t>现场</w:t>
      </w: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bidi="ar"/>
        </w:rPr>
        <w:t>实操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（一）比赛项目：</w:t>
      </w:r>
      <w:r>
        <w:rPr>
          <w:rFonts w:hint="eastAsia" w:ascii="仿宋_GB2312" w:hAnsi="宋体" w:eastAsia="仿宋_GB2312" w:cs="仿宋_GB2312"/>
          <w:b w:val="0"/>
          <w:bCs w:val="0"/>
          <w:color w:val="000000"/>
          <w:kern w:val="0"/>
          <w:sz w:val="31"/>
          <w:szCs w:val="31"/>
          <w:lang w:bidi="ar"/>
        </w:rPr>
        <w:t>水和废水现场采样。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highlight w:val="none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方法依据：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highlight w:val="none"/>
          <w:lang w:bidi="ar"/>
        </w:rPr>
        <w:t>《污水监测技术规范》（HJ 91.1-2019）。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1、样品采集。废水样品采集 CODcr、BOD5、重金属等项目的样品,并提交采样原始记录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t>；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2、现场分析pH、测试水温。单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highlight w:val="none"/>
          <w:lang w:bidi="ar"/>
        </w:rPr>
        <w:t>组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考核时长：40分钟。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注意事项：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1、所有出入厂区的人员、车辆需出示竞赛主办方统一发放的标识牌进出厂区，遵守厂方相关要求。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2、竞赛用采样器具、现场分析测试仪器及辅助用品均由选手自行准备；每队可配备一辆运输车辆和两名保障人员，每天上午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t>8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: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t>0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0前到比赛场地指定停车场，在现场工作人员指引下将采样器具、现场分析测试仪器运至考点的等候区，按现场标识指示牌有序排放。运输车辆返回至停车场有序停放，本队保障人员在等候区等候，根据工作人员指示协助本队选手将采样器具、现场分析测试仪器等物品搬运至考位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3、选手应根据规范布点，现场模拟采样1个点，水温和pH必须现场测试，比赛时间结束时，选手应立即停止操作，相关记录交给考核专家。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4、选手须穿戴长袖、长裤、防护鞋参加比赛，并做好相应的防疫措施，不符合安全及防疫要求的不得入厂参加比赛。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（二）比赛地点：某污水处理厂总排放口，用于考核的排放口为矩形槽，尺寸由各组现场测试，工况等其他必要的基本信息由操作考核专家现场提供。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（三）比赛形式：参赛队伍分三组进行，每组5-15支队伍同时进行现场实操。比赛顺序与点位，抽签确定。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（四）考核指标：现场采样原始记录的填写规范性、采样仪器操作规范性及熟练程度、采样点位的合理性。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（五）采样器具、现场分析测试仪器：本次现场操作比武时所需要的现场采样器具、现场分析测试仪器、原始记录等均由各参赛队伍自行准备。</w:t>
      </w:r>
    </w:p>
    <w:p>
      <w:pPr>
        <w:widowControl/>
        <w:ind w:firstLine="620" w:firstLineChars="200"/>
        <w:jc w:val="left"/>
      </w:pPr>
      <w:r>
        <w:rPr>
          <w:rFonts w:ascii="黑体" w:hAnsi="宋体" w:eastAsia="黑体" w:cs="黑体"/>
          <w:color w:val="000000"/>
          <w:kern w:val="0"/>
          <w:sz w:val="31"/>
          <w:szCs w:val="31"/>
          <w:lang w:bidi="ar"/>
        </w:rPr>
        <w:t>四、评分方法</w:t>
      </w:r>
    </w:p>
    <w:p>
      <w:pPr>
        <w:widowControl/>
        <w:ind w:firstLine="620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紧急拉动、想定作业、分析研判、现场实操四个类别的记分均以百分记，即总分为400分。各队最后得分的计算方法为：总折算分=紧急拉动×10%＋想定作业×30%＋分析研判×30%＋现场采实操×30%。</w:t>
      </w:r>
    </w:p>
    <w:p>
      <w:pPr>
        <w:widowControl/>
        <w:ind w:firstLine="620" w:firstLineChars="200"/>
        <w:jc w:val="left"/>
      </w:pPr>
      <w:r>
        <w:rPr>
          <w:rFonts w:ascii="黑体" w:hAnsi="宋体" w:eastAsia="黑体" w:cs="黑体"/>
          <w:color w:val="000000"/>
          <w:kern w:val="0"/>
          <w:sz w:val="31"/>
          <w:szCs w:val="31"/>
          <w:lang w:bidi="ar"/>
        </w:rPr>
        <w:t>五、大比武赛程</w:t>
      </w:r>
    </w:p>
    <w:p>
      <w:pPr>
        <w:widowControl/>
        <w:ind w:firstLine="620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执法与应急比武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分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三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个阶段，共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3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天时间。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第一阶段：紧急拉动。临机确定，届时各参赛队通过本单位电视电话会议系统接受考核，根据情况派出现场巡视组。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第二阶段：想定作业120分钟，分析研判60分钟。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第三阶段:执法应急现场实操1.5天,比赛顺序抽签确定，比赛时间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t>另行通知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。</w:t>
      </w: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</w:pPr>
    </w:p>
    <w:p>
      <w:pPr>
        <w:widowControl/>
        <w:ind w:firstLine="620" w:firstLineChars="200"/>
        <w:jc w:val="left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sectPr>
          <w:footerReference r:id="rId3" w:type="default"/>
          <w:pgSz w:w="11906" w:h="16838"/>
          <w:pgMar w:top="1440" w:right="1474" w:bottom="1440" w:left="1587" w:header="851" w:footer="992" w:gutter="0"/>
          <w:cols w:space="720" w:num="1"/>
          <w:rtlGutter w:val="0"/>
          <w:docGrid w:type="lines" w:linePitch="312" w:charSpace="0"/>
        </w:sectPr>
      </w:pPr>
    </w:p>
    <w:p>
      <w:pPr>
        <w:spacing w:before="43"/>
        <w:outlineLvl w:val="2"/>
        <w:rPr>
          <w:rFonts w:hint="eastAsia" w:ascii="黑体" w:hAnsi="黑体" w:eastAsia="黑体" w:cs="黑体"/>
          <w:bCs/>
          <w:kern w:val="0"/>
          <w:sz w:val="32"/>
          <w:szCs w:val="48"/>
          <w:lang w:eastAsia="zh-CN"/>
        </w:rPr>
      </w:pPr>
      <w:r>
        <w:rPr>
          <w:rFonts w:hint="eastAsia" w:ascii="黑体" w:hAnsi="黑体" w:eastAsia="黑体" w:cs="黑体"/>
          <w:bCs/>
          <w:kern w:val="0"/>
          <w:sz w:val="32"/>
          <w:szCs w:val="48"/>
        </w:rPr>
        <w:t>附件</w:t>
      </w:r>
      <w:r>
        <w:rPr>
          <w:rFonts w:hint="eastAsia" w:ascii="黑体" w:hAnsi="黑体" w:eastAsia="黑体" w:cs="黑体"/>
          <w:bCs/>
          <w:kern w:val="0"/>
          <w:sz w:val="32"/>
          <w:szCs w:val="48"/>
          <w:lang w:val="en-US" w:eastAsia="zh-CN"/>
        </w:rPr>
        <w:t>3</w:t>
      </w:r>
    </w:p>
    <w:p>
      <w:pPr>
        <w:snapToGrid w:val="0"/>
        <w:spacing w:before="157" w:beforeLines="50" w:after="157" w:afterLines="50" w:line="240" w:lineRule="auto"/>
        <w:jc w:val="center"/>
        <w:rPr>
          <w:rFonts w:ascii="方正小标宋_GBK" w:hAnsi="方正小标宋_GBK" w:eastAsia="方正小标宋_GBK" w:cs="方正小标宋_GBK"/>
          <w:kern w:val="0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第十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  <w:lang w:eastAsia="zh-CN"/>
        </w:rPr>
        <w:t>五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届全省生态环境监测专业技术人员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br w:type="textWrapping"/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大比武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</w:rPr>
        <w:t>参赛代表队一览表（表1-1）</w:t>
      </w:r>
    </w:p>
    <w:p>
      <w:pPr>
        <w:snapToGrid w:val="0"/>
        <w:jc w:val="center"/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eastAsia="zh-CN" w:bidi="ar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bidi="ar"/>
        </w:rPr>
        <w:t>分析技能竞赛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eastAsia="zh-CN" w:bidi="ar"/>
        </w:rPr>
        <w:t>：□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bidi="ar"/>
        </w:rPr>
        <w:t>省直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eastAsia="zh-CN" w:bidi="ar"/>
        </w:rPr>
        <w:t>组、□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bidi="ar"/>
        </w:rPr>
        <w:t>县市区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eastAsia="zh-CN" w:bidi="ar"/>
        </w:rPr>
        <w:t>组、□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bidi="ar"/>
        </w:rPr>
        <w:t>社会机构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eastAsia="zh-CN" w:bidi="ar"/>
        </w:rPr>
        <w:t>；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bidi="ar"/>
        </w:rPr>
        <w:t>执法与应急监测比武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：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eastAsia="zh-CN" w:bidi="ar"/>
        </w:rPr>
        <w:t>□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bidi="ar"/>
        </w:rPr>
        <w:t>省直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eastAsia="zh-CN" w:bidi="ar"/>
        </w:rPr>
        <w:t>组、□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bidi="ar"/>
        </w:rPr>
        <w:t>县市区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eastAsia="zh-CN" w:bidi="ar"/>
        </w:rPr>
        <w:t>组）</w:t>
      </w:r>
    </w:p>
    <w:p>
      <w:pPr>
        <w:snapToGrid w:val="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单位（盖章）：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9"/>
        <w:gridCol w:w="1729"/>
        <w:gridCol w:w="3326"/>
        <w:gridCol w:w="2547"/>
        <w:gridCol w:w="1326"/>
        <w:gridCol w:w="1618"/>
        <w:gridCol w:w="2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1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  <w:t>名称</w:t>
            </w:r>
          </w:p>
        </w:tc>
        <w:tc>
          <w:tcPr>
            <w:tcW w:w="172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33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  <w:t>工作单位</w:t>
            </w:r>
          </w:p>
        </w:tc>
        <w:tc>
          <w:tcPr>
            <w:tcW w:w="254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参赛名称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  <w:t>性别</w:t>
            </w:r>
          </w:p>
        </w:tc>
        <w:tc>
          <w:tcPr>
            <w:tcW w:w="161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  <w:t>职称/职务</w:t>
            </w:r>
          </w:p>
        </w:tc>
        <w:tc>
          <w:tcPr>
            <w:tcW w:w="234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  <w:jc w:val="center"/>
        </w:trPr>
        <w:tc>
          <w:tcPr>
            <w:tcW w:w="131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  <w:t>领队</w:t>
            </w:r>
          </w:p>
        </w:tc>
        <w:tc>
          <w:tcPr>
            <w:tcW w:w="172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33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254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161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9" w:hRule="atLeast"/>
          <w:jc w:val="center"/>
        </w:trPr>
        <w:tc>
          <w:tcPr>
            <w:tcW w:w="1319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  <w:t>竞赛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  <w:t>选手</w:t>
            </w:r>
          </w:p>
        </w:tc>
        <w:tc>
          <w:tcPr>
            <w:tcW w:w="172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332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4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61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9" w:hRule="atLeast"/>
          <w:jc w:val="center"/>
        </w:trPr>
        <w:tc>
          <w:tcPr>
            <w:tcW w:w="131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332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4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618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3" w:hRule="atLeast"/>
          <w:jc w:val="center"/>
        </w:trPr>
        <w:tc>
          <w:tcPr>
            <w:tcW w:w="131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332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4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618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8" w:hRule="atLeast"/>
          <w:jc w:val="center"/>
        </w:trPr>
        <w:tc>
          <w:tcPr>
            <w:tcW w:w="131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332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4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618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31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332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4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2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618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31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332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4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2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618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  <w:jc w:val="center"/>
        </w:trPr>
        <w:tc>
          <w:tcPr>
            <w:tcW w:w="131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332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4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618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jc w:val="center"/>
        </w:trPr>
        <w:tc>
          <w:tcPr>
            <w:tcW w:w="131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联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  <w:t>络员</w:t>
            </w:r>
          </w:p>
        </w:tc>
        <w:tc>
          <w:tcPr>
            <w:tcW w:w="172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33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4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161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</w:tr>
    </w:tbl>
    <w:p>
      <w:pPr>
        <w:widowControl/>
        <w:snapToGrid w:val="0"/>
        <w:ind w:left="720" w:hanging="720" w:hangingChars="300"/>
        <w:jc w:val="left"/>
        <w:rPr>
          <w:rFonts w:hint="eastAsia" w:ascii="仿宋_GB2312" w:hAnsi="仿宋_GB2312" w:cs="仿宋_GB2312"/>
          <w:kern w:val="0"/>
          <w:sz w:val="24"/>
          <w:szCs w:val="24"/>
        </w:rPr>
      </w:pPr>
    </w:p>
    <w:p>
      <w:pPr>
        <w:widowControl/>
        <w:snapToGrid w:val="0"/>
        <w:ind w:left="720" w:hanging="720" w:hangingChars="300"/>
        <w:jc w:val="left"/>
        <w:rPr>
          <w:rFonts w:hint="eastAsia" w:ascii="仿宋_GB2312" w:hAnsi="仿宋_GB2312" w:eastAsia="仿宋_GB2312" w:cs="仿宋_GB2312"/>
          <w:kern w:val="0"/>
          <w:sz w:val="24"/>
          <w:szCs w:val="24"/>
          <w:lang w:eastAsia="zh-CN"/>
        </w:rPr>
        <w:sectPr>
          <w:pgSz w:w="16838" w:h="11906" w:orient="landscape"/>
          <w:pgMar w:top="1797" w:right="1440" w:bottom="1797" w:left="1440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kern w:val="0"/>
          <w:sz w:val="24"/>
          <w:szCs w:val="24"/>
        </w:rPr>
        <w:t>备注：未作备案的人员一律不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lang w:eastAsia="zh-CN"/>
        </w:rPr>
        <w:t>得参赛。</w:t>
      </w:r>
    </w:p>
    <w:p>
      <w:pPr>
        <w:snapToGrid w:val="0"/>
        <w:spacing w:after="161" w:afterLines="50"/>
        <w:jc w:val="center"/>
        <w:rPr>
          <w:rFonts w:hint="eastAsia" w:ascii="方正小标宋_GBK" w:hAnsi="方正小标宋_GBK" w:eastAsia="方正小标宋_GBK" w:cs="方正小标宋_GBK"/>
          <w:kern w:val="0"/>
          <w:sz w:val="20"/>
          <w:szCs w:val="20"/>
        </w:rPr>
      </w:pPr>
    </w:p>
    <w:p>
      <w:pPr>
        <w:snapToGrid w:val="0"/>
        <w:spacing w:before="0" w:beforeAutospacing="0" w:after="97" w:afterLines="30" w:afterAutospacing="0" w:line="240" w:lineRule="auto"/>
        <w:jc w:val="center"/>
        <w:rPr>
          <w:rFonts w:ascii="方正小标宋_GBK" w:hAnsi="方正小标宋_GBK" w:eastAsia="方正小标宋_GBK" w:cs="方正小标宋_GBK"/>
          <w:kern w:val="0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第十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  <w:lang w:eastAsia="zh-CN"/>
        </w:rPr>
        <w:t>五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届全省生态环境监测专业技术人员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br w:type="textWrapping"/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大比武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</w:rPr>
        <w:t>参赛选手登记表（表1-2）</w:t>
      </w:r>
    </w:p>
    <w:p>
      <w:pPr>
        <w:snapToGrid w:val="0"/>
        <w:jc w:val="center"/>
        <w:rPr>
          <w:rFonts w:hint="eastAsia" w:ascii="楷体_GB2312" w:hAnsi="楷体_GB2312" w:eastAsia="楷体_GB2312" w:cs="楷体_GB2312"/>
          <w:kern w:val="0"/>
          <w:szCs w:val="32"/>
          <w:lang w:eastAsia="zh-CN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sym w:font="Wingdings" w:char="00A8"/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分析技能竞赛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sym w:font="Wingdings" w:char="00A8"/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bidi="ar"/>
        </w:rPr>
        <w:t>执法与应急监测比武</w:t>
      </w:r>
    </w:p>
    <w:p>
      <w:pPr>
        <w:snapToGrid w:val="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</w:p>
    <w:p>
      <w:pPr>
        <w:snapToGrid w:val="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单位名称：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65"/>
        <w:gridCol w:w="1230"/>
        <w:gridCol w:w="746"/>
        <w:gridCol w:w="514"/>
        <w:gridCol w:w="1020"/>
        <w:gridCol w:w="710"/>
        <w:gridCol w:w="440"/>
        <w:gridCol w:w="1118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姓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名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性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别</w:t>
            </w:r>
          </w:p>
        </w:tc>
        <w:tc>
          <w:tcPr>
            <w:tcW w:w="102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1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民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族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71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出生年月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文化程度</w:t>
            </w:r>
          </w:p>
        </w:tc>
        <w:tc>
          <w:tcPr>
            <w:tcW w:w="1020" w:type="dxa"/>
            <w:noWrap w:val="0"/>
            <w:vAlign w:val="center"/>
          </w:tcPr>
          <w:p>
            <w:pPr>
              <w:adjustRightInd w:val="0"/>
              <w:snapToGrid w:val="0"/>
              <w:ind w:firstLine="238" w:firstLineChars="100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1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毕业院校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9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所学专业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从事专业</w:t>
            </w:r>
          </w:p>
        </w:tc>
        <w:tc>
          <w:tcPr>
            <w:tcW w:w="102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1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工作时间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57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专业技术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职务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身份证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号码 </w:t>
            </w:r>
          </w:p>
        </w:tc>
        <w:tc>
          <w:tcPr>
            <w:tcW w:w="3288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</w:pPr>
          </w:p>
        </w:tc>
        <w:tc>
          <w:tcPr>
            <w:tcW w:w="1720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94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工作单位</w:t>
            </w:r>
          </w:p>
        </w:tc>
        <w:tc>
          <w:tcPr>
            <w:tcW w:w="249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> </w:t>
            </w:r>
          </w:p>
        </w:tc>
        <w:tc>
          <w:tcPr>
            <w:tcW w:w="173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手机</w:t>
            </w:r>
          </w:p>
        </w:tc>
        <w:tc>
          <w:tcPr>
            <w:tcW w:w="3278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88" w:hRule="atLeast"/>
          <w:jc w:val="center"/>
        </w:trPr>
        <w:tc>
          <w:tcPr>
            <w:tcW w:w="3341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  <w:t>个人申请</w:t>
            </w:r>
          </w:p>
        </w:tc>
        <w:tc>
          <w:tcPr>
            <w:tcW w:w="5522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个人签名：</w:t>
            </w:r>
          </w:p>
          <w:p>
            <w:pPr>
              <w:wordWrap w:val="0"/>
              <w:adjustRightInd w:val="0"/>
              <w:snapToGrid w:val="0"/>
              <w:ind w:right="624" w:rightChars="300"/>
              <w:jc w:val="righ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95" w:hRule="atLeast"/>
          <w:jc w:val="center"/>
        </w:trPr>
        <w:tc>
          <w:tcPr>
            <w:tcW w:w="3341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>单位意见</w:t>
            </w:r>
          </w:p>
        </w:tc>
        <w:tc>
          <w:tcPr>
            <w:tcW w:w="5522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单位盖章</w:t>
            </w:r>
          </w:p>
          <w:p>
            <w:pPr>
              <w:wordWrap w:val="0"/>
              <w:adjustRightInd w:val="0"/>
              <w:snapToGrid w:val="0"/>
              <w:ind w:right="624" w:rightChars="300"/>
              <w:jc w:val="righ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 xml:space="preserve">  月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46" w:hRule="atLeast"/>
          <w:jc w:val="center"/>
        </w:trPr>
        <w:tc>
          <w:tcPr>
            <w:tcW w:w="3341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市场监督管理局意见</w:t>
            </w:r>
          </w:p>
        </w:tc>
        <w:tc>
          <w:tcPr>
            <w:tcW w:w="5522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</w:pPr>
          </w:p>
          <w:p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</w:pPr>
          </w:p>
          <w:p>
            <w:pPr>
              <w:adjustRightInd w:val="0"/>
              <w:snapToGrid w:val="0"/>
              <w:ind w:firstLine="2380" w:firstLineChars="1000"/>
              <w:jc w:val="lef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单位盖章</w:t>
            </w:r>
          </w:p>
          <w:p>
            <w:pPr>
              <w:adjustRightInd w:val="0"/>
              <w:snapToGrid w:val="0"/>
              <w:ind w:right="624" w:rightChars="300"/>
              <w:jc w:val="righ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 xml:space="preserve">  月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日</w:t>
            </w:r>
          </w:p>
        </w:tc>
      </w:tr>
    </w:tbl>
    <w:p/>
    <w:sectPr>
      <w:headerReference r:id="rId4" w:type="default"/>
      <w:footerReference r:id="rId6" w:type="default"/>
      <w:headerReference r:id="rId5" w:type="even"/>
      <w:footerReference r:id="rId7" w:type="even"/>
      <w:pgSz w:w="11906" w:h="16838"/>
      <w:pgMar w:top="1701" w:right="1474" w:bottom="1134" w:left="1531" w:header="851" w:footer="964" w:gutter="0"/>
      <w:pgNumType w:fmt="numberInDash" w:start="1"/>
      <w:cols w:space="0" w:num="1"/>
      <w:rtlGutter w:val="0"/>
      <w:docGrid w:type="linesAndChars" w:linePitch="636" w:charSpace="-43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beforeLines="0" w:afterLines="0"/>
      <w:rPr>
        <w:rFonts w:hint="default"/>
        <w:sz w:val="18"/>
      </w:rPr>
    </w:pPr>
    <w:r>
      <w:rPr>
        <w:rFonts w:hint="default"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spacing w:beforeLines="0" w:afterLines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t>- 11 -</w:t>
                          </w: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LNJWO7QAAAABQEAAA8AAAAAAAAA&#10;AQAgAAAAIgAAAGRycy9kb3ducmV2LnhtbFBLAQIUABQAAAAIAIdO4kB5YU9/4AEAALsDAAAOAAAA&#10;AAAAAAEAIAAAAB8BAABkcnMvZTJvRG9jLnhtbFBLBQYAAAAABgAGAFkBAABx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spacing w:beforeLines="0" w:afterLines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 w:ascii="仿宋_GB2312" w:hAnsi="仿宋_GB2312"/>
                        <w:sz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/>
                        <w:sz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/>
                        <w:sz w:val="28"/>
                      </w:rPr>
                      <w:t>- 11 -</w:t>
                    </w:r>
                    <w:r>
                      <w:rPr>
                        <w:rFonts w:hint="eastAsia" w:ascii="仿宋_GB2312" w:hAnsi="仿宋_GB2312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napToGrid w:val="0"/>
      <w:jc w:val="left"/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</w:pP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fldChar w:fldCharType="begin"/>
    </w: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instrText xml:space="preserve"> PAGE   \* MERGEFORMAT </w:instrText>
    </w: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fldChar w:fldCharType="separate"/>
    </w:r>
    <w:r>
      <w:rPr>
        <w:rFonts w:hint="eastAsia" w:ascii="仿宋_GB2312" w:hAnsi="仿宋_GB2312" w:eastAsia="仿宋_GB2312" w:cs="仿宋_GB2312"/>
        <w:kern w:val="2"/>
        <w:sz w:val="28"/>
        <w:szCs w:val="28"/>
        <w:lang w:val="zh-CN" w:eastAsia="zh-CN" w:bidi="ar-SA"/>
      </w:rPr>
      <w:t>-</w:t>
    </w: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t xml:space="preserve"> 16 -</w:t>
    </w: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fldChar w:fldCharType="end"/>
    </w:r>
  </w:p>
  <w:p>
    <w:pPr>
      <w:widowControl w:val="0"/>
      <w:snapToGrid w:val="0"/>
      <w:jc w:val="left"/>
      <w:rPr>
        <w:rFonts w:ascii="Times New Roman" w:hAnsi="Times New Roman" w:eastAsia="仿宋_GB2312" w:cs="Times New Roman"/>
        <w:kern w:val="2"/>
        <w:sz w:val="18"/>
        <w:szCs w:val="20"/>
        <w:lang w:val="en-US" w:eastAsia="zh-CN" w:bidi="ar-S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pBdr>
        <w:bottom w:val="none" w:color="auto" w:sz="0" w:space="0"/>
      </w:pBdr>
      <w:snapToGrid w:val="0"/>
      <w:jc w:val="left"/>
      <w:rPr>
        <w:rFonts w:ascii="Times New Roman" w:hAnsi="Times New Roman" w:eastAsia="仿宋_GB2312" w:cs="Times New Roman"/>
        <w:kern w:val="2"/>
        <w:sz w:val="18"/>
        <w:szCs w:val="20"/>
        <w:lang w:val="en-US" w:eastAsia="zh-CN" w:bidi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spacing w:beforeLines="0" w:afterLines="0"/>
      <w:rPr>
        <w:rFonts w:hint="default"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1860DC"/>
    <w:multiLevelType w:val="singleLevel"/>
    <w:tmpl w:val="431860D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F91F236"/>
    <w:multiLevelType w:val="singleLevel"/>
    <w:tmpl w:val="6F91F236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71DD0"/>
    <w:rsid w:val="6C771DD0"/>
    <w:rsid w:val="76DB166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hd w:val="clear" w:color="auto" w:fill="FFFFFF"/>
      <w:adjustRightInd w:val="0"/>
      <w:snapToGrid w:val="0"/>
      <w:spacing w:line="600" w:lineRule="exact"/>
      <w:ind w:firstLine="640" w:firstLineChars="200"/>
      <w:jc w:val="both"/>
    </w:pPr>
    <w:rPr>
      <w:rFonts w:ascii="仿宋_GB2312" w:hAnsi="仿宋" w:eastAsia="仿宋_GB2312" w:cs="Times New Roman"/>
      <w:kern w:val="2"/>
      <w:sz w:val="32"/>
      <w:szCs w:val="32"/>
      <w:lang w:eastAsia="zh-CN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</w:rPr>
  </w:style>
  <w:style w:type="table" w:styleId="6">
    <w:name w:val="Table Grid"/>
    <w:basedOn w:val="5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8">
    <w:name w:val="List Paragraph"/>
    <w:basedOn w:val="1"/>
    <w:qFormat/>
    <w:uiPriority w:val="1"/>
    <w:pPr>
      <w:ind w:left="1026" w:hanging="243"/>
    </w:pPr>
    <w:rPr>
      <w:rFonts w:ascii="仿宋_GB2312" w:hAnsi="仿宋_GB2312" w:eastAsia="仿宋_GB2312" w:cs="仿宋_GB2312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2021-11-08T01:54:00Z</dcterms:created>
  <dc:creator>WPS_1559523732</dc:creator>
  <cp:lastModifiedBy>记住我</cp:lastModifiedBy>
  <dcterms:modified xsi:type="dcterms:W3CDTF">2021-11-08T02:29:21Z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36C4C67AC2B345C0B5769DCA04914632</vt:lpwstr>
  </property>
</Properties>
</file>