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outlineLvl w:val="0"/>
        <w:rPr>
          <w:rFonts w:hint="eastAsia" w:ascii="仿宋_GB2312" w:hAnsi="仿宋" w:cs="仿宋_GB2312"/>
        </w:rPr>
      </w:pPr>
      <w:r>
        <w:rPr>
          <w:rFonts w:hint="eastAsia" w:ascii="仿宋_GB2312" w:hAnsi="仿宋" w:cs="仿宋_GB2312"/>
        </w:rPr>
        <w:t>附件</w:t>
      </w:r>
      <w:r>
        <w:rPr>
          <w:rFonts w:ascii="仿宋_GB2312" w:hAnsi="仿宋" w:cs="仿宋_GB2312"/>
        </w:rPr>
        <w:t>4</w:t>
      </w:r>
      <w:r>
        <w:rPr>
          <w:rFonts w:hint="eastAsia" w:ascii="仿宋_GB2312" w:hAnsi="仿宋" w:cs="仿宋_GB2312"/>
        </w:rPr>
        <w:t xml:space="preserve"> </w:t>
      </w:r>
    </w:p>
    <w:p>
      <w:pPr>
        <w:widowControl w:val="0"/>
        <w:ind w:firstLine="562" w:firstLineChars="200"/>
        <w:jc w:val="center"/>
        <w:rPr>
          <w:rFonts w:hint="eastAsia" w:ascii="Times New Roman" w:hAnsi="Times New Roman" w:eastAsia="仿宋_GB2312" w:cs="Times New Roman"/>
          <w:b/>
          <w:kern w:val="2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b/>
          <w:kern w:val="2"/>
          <w:sz w:val="28"/>
          <w:szCs w:val="28"/>
          <w:lang w:val="en-US" w:eastAsia="zh-CN" w:bidi="ar-SA"/>
        </w:rPr>
        <w:t>标准编制说明的主要内容</w:t>
      </w:r>
    </w:p>
    <w:p>
      <w:pPr>
        <w:widowControl w:val="0"/>
        <w:ind w:firstLine="562" w:firstLineChars="200"/>
        <w:jc w:val="center"/>
        <w:rPr>
          <w:rFonts w:hint="eastAsia" w:ascii="Times New Roman" w:hAnsi="Times New Roman" w:eastAsia="仿宋_GB2312" w:cs="Times New Roman"/>
          <w:b/>
          <w:kern w:val="2"/>
          <w:sz w:val="28"/>
          <w:szCs w:val="28"/>
          <w:lang w:val="en-US" w:eastAsia="zh-CN" w:bidi="ar-SA"/>
        </w:rPr>
      </w:pPr>
    </w:p>
    <w:p>
      <w:pPr>
        <w:widowControl w:val="0"/>
        <w:numPr>
          <w:ilvl w:val="0"/>
          <w:numId w:val="1"/>
        </w:numPr>
        <w:spacing w:line="312" w:lineRule="auto"/>
        <w:ind w:left="0" w:firstLine="567"/>
        <w:jc w:val="both"/>
        <w:rPr>
          <w:rFonts w:ascii="Times New Roman" w:hAnsi="Times New Roman" w:eastAsia="仿宋_GB2312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kern w:val="2"/>
          <w:sz w:val="28"/>
          <w:szCs w:val="28"/>
          <w:lang w:val="en-US" w:eastAsia="zh-CN" w:bidi="ar-SA"/>
        </w:rPr>
        <w:t>项目背景情况，包括任务来源和工作过程；</w:t>
      </w:r>
    </w:p>
    <w:p>
      <w:pPr>
        <w:widowControl w:val="0"/>
        <w:numPr>
          <w:ilvl w:val="0"/>
          <w:numId w:val="1"/>
        </w:numPr>
        <w:spacing w:line="312" w:lineRule="auto"/>
        <w:ind w:left="0" w:firstLine="567"/>
        <w:jc w:val="both"/>
        <w:rPr>
          <w:rFonts w:ascii="Times New Roman" w:hAnsi="Times New Roman" w:eastAsia="仿宋_GB2312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kern w:val="2"/>
          <w:sz w:val="28"/>
          <w:szCs w:val="28"/>
          <w:lang w:val="en-US" w:eastAsia="zh-CN" w:bidi="ar-SA"/>
        </w:rPr>
        <w:t>标准制修订必要性分析；</w:t>
      </w:r>
    </w:p>
    <w:p>
      <w:pPr>
        <w:widowControl w:val="0"/>
        <w:numPr>
          <w:ilvl w:val="0"/>
          <w:numId w:val="1"/>
        </w:numPr>
        <w:spacing w:line="312" w:lineRule="auto"/>
        <w:ind w:left="0" w:firstLine="567"/>
        <w:jc w:val="both"/>
        <w:rPr>
          <w:rFonts w:ascii="Times New Roman" w:hAnsi="Times New Roman" w:eastAsia="仿宋_GB2312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kern w:val="2"/>
          <w:sz w:val="28"/>
          <w:szCs w:val="28"/>
          <w:lang w:val="en-US" w:eastAsia="zh-CN" w:bidi="ar-SA"/>
        </w:rPr>
        <w:t>国内外、省内外相关标准情况；</w:t>
      </w:r>
    </w:p>
    <w:p>
      <w:pPr>
        <w:widowControl w:val="0"/>
        <w:numPr>
          <w:ilvl w:val="0"/>
          <w:numId w:val="1"/>
        </w:numPr>
        <w:spacing w:line="312" w:lineRule="auto"/>
        <w:ind w:left="0" w:firstLine="567"/>
        <w:jc w:val="both"/>
        <w:rPr>
          <w:rFonts w:ascii="Times New Roman" w:hAnsi="Times New Roman" w:eastAsia="仿宋_GB2312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kern w:val="2"/>
          <w:sz w:val="28"/>
          <w:szCs w:val="28"/>
          <w:lang w:val="en-US" w:eastAsia="zh-CN" w:bidi="ar-SA"/>
        </w:rPr>
        <w:t>标准制修订的基本原则和技术路线；</w:t>
      </w:r>
    </w:p>
    <w:p>
      <w:pPr>
        <w:widowControl w:val="0"/>
        <w:numPr>
          <w:ilvl w:val="0"/>
          <w:numId w:val="1"/>
        </w:numPr>
        <w:spacing w:line="312" w:lineRule="auto"/>
        <w:ind w:left="0" w:firstLine="567"/>
        <w:jc w:val="both"/>
        <w:rPr>
          <w:rFonts w:ascii="Times New Roman" w:hAnsi="Times New Roman" w:eastAsia="仿宋_GB2312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kern w:val="2"/>
          <w:sz w:val="28"/>
          <w:szCs w:val="28"/>
          <w:lang w:val="en-US" w:eastAsia="zh-CN" w:bidi="ar-SA"/>
        </w:rPr>
        <w:t>标准主要技术内容，说明确定标准主要技术内容（技术指标、参数、公式、性能要求、试验方法、检验规则等）的论据（包括试验、统计数据）及说明；</w:t>
      </w:r>
    </w:p>
    <w:p>
      <w:pPr>
        <w:widowControl w:val="0"/>
        <w:numPr>
          <w:ilvl w:val="0"/>
          <w:numId w:val="1"/>
        </w:numPr>
        <w:spacing w:line="312" w:lineRule="auto"/>
        <w:ind w:left="0" w:firstLine="567"/>
        <w:jc w:val="both"/>
        <w:rPr>
          <w:rFonts w:ascii="Times New Roman" w:hAnsi="Times New Roman" w:eastAsia="仿宋_GB2312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kern w:val="2"/>
          <w:sz w:val="28"/>
          <w:szCs w:val="28"/>
          <w:lang w:val="en-US" w:eastAsia="zh-CN" w:bidi="ar-SA"/>
        </w:rPr>
        <w:t>与国内外、省内外同类标准的水平对比和分析；</w:t>
      </w:r>
    </w:p>
    <w:p>
      <w:pPr>
        <w:widowControl w:val="0"/>
        <w:numPr>
          <w:ilvl w:val="0"/>
          <w:numId w:val="1"/>
        </w:numPr>
        <w:spacing w:line="312" w:lineRule="auto"/>
        <w:ind w:left="0" w:firstLine="567"/>
        <w:jc w:val="both"/>
        <w:rPr>
          <w:rFonts w:ascii="Times New Roman" w:hAnsi="Times New Roman" w:eastAsia="仿宋_GB2312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color w:val="auto"/>
          <w:kern w:val="2"/>
          <w:sz w:val="28"/>
          <w:szCs w:val="28"/>
          <w:lang w:val="en-US" w:eastAsia="zh-CN" w:bidi="ar-SA"/>
        </w:rPr>
        <w:t>实施本标准的技术经济可行性分析；</w:t>
      </w:r>
    </w:p>
    <w:p>
      <w:pPr>
        <w:widowControl w:val="0"/>
        <w:numPr>
          <w:ilvl w:val="0"/>
          <w:numId w:val="1"/>
        </w:numPr>
        <w:spacing w:line="312" w:lineRule="auto"/>
        <w:ind w:left="0" w:firstLine="567"/>
        <w:jc w:val="both"/>
        <w:rPr>
          <w:rFonts w:ascii="Times New Roman" w:hAnsi="Times New Roman" w:eastAsia="仿宋_GB2312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kern w:val="2"/>
          <w:sz w:val="28"/>
          <w:szCs w:val="28"/>
          <w:lang w:val="en-US" w:eastAsia="zh-CN" w:bidi="ar-SA"/>
        </w:rPr>
        <w:t>实施本标准的管理措施、技术措施、实施方案建议；</w:t>
      </w:r>
    </w:p>
    <w:p>
      <w:pPr>
        <w:widowControl w:val="0"/>
        <w:numPr>
          <w:ilvl w:val="0"/>
          <w:numId w:val="1"/>
        </w:numPr>
        <w:spacing w:line="312" w:lineRule="auto"/>
        <w:ind w:left="0" w:firstLine="567"/>
        <w:jc w:val="both"/>
        <w:rPr>
          <w:rFonts w:ascii="Times New Roman" w:hAnsi="Times New Roman" w:eastAsia="仿宋_GB2312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kern w:val="2"/>
          <w:sz w:val="28"/>
          <w:szCs w:val="28"/>
          <w:lang w:val="en-US" w:eastAsia="zh-CN" w:bidi="ar-SA"/>
        </w:rPr>
        <w:t>标准征求意见工作情况及对意见的处理情况（送审稿编制说明增加内容）；</w:t>
      </w:r>
    </w:p>
    <w:p>
      <w:pPr>
        <w:widowControl w:val="0"/>
        <w:numPr>
          <w:ilvl w:val="0"/>
          <w:numId w:val="1"/>
        </w:numPr>
        <w:spacing w:line="312" w:lineRule="auto"/>
        <w:ind w:left="0" w:firstLine="567"/>
        <w:jc w:val="both"/>
        <w:rPr>
          <w:rFonts w:ascii="Times New Roman" w:hAnsi="Times New Roman" w:eastAsia="仿宋_GB2312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kern w:val="2"/>
          <w:sz w:val="28"/>
          <w:szCs w:val="28"/>
          <w:lang w:val="en-US" w:eastAsia="zh-CN" w:bidi="ar-SA"/>
        </w:rPr>
        <w:t>标准送审稿技术审查的情况（报批稿编制说明增加内容）；</w:t>
      </w:r>
    </w:p>
    <w:p>
      <w:pPr>
        <w:widowControl w:val="0"/>
        <w:numPr>
          <w:ilvl w:val="0"/>
          <w:numId w:val="1"/>
        </w:numPr>
        <w:spacing w:line="312" w:lineRule="auto"/>
        <w:ind w:left="0" w:firstLine="567"/>
        <w:jc w:val="both"/>
        <w:rPr>
          <w:rFonts w:ascii="Times New Roman" w:hAnsi="Times New Roman" w:eastAsia="仿宋_GB2312" w:cs="Times New Roman"/>
          <w:kern w:val="2"/>
          <w:sz w:val="28"/>
          <w:szCs w:val="28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kern w:val="2"/>
          <w:sz w:val="28"/>
          <w:szCs w:val="28"/>
          <w:lang w:val="en-US" w:eastAsia="zh-CN" w:bidi="ar-SA"/>
        </w:rPr>
        <w:t>附件：征求意见汇总处理表（送审稿编制说明增加内容）；</w:t>
      </w:r>
    </w:p>
    <w:p>
      <w:pPr>
        <w:widowControl w:val="0"/>
        <w:numPr>
          <w:ilvl w:val="0"/>
          <w:numId w:val="1"/>
        </w:numPr>
        <w:spacing w:line="312" w:lineRule="auto"/>
        <w:ind w:left="0" w:firstLine="567"/>
        <w:jc w:val="both"/>
      </w:pPr>
      <w:r>
        <w:rPr>
          <w:rFonts w:hint="eastAsia" w:ascii="Times New Roman" w:hAnsi="Times New Roman" w:eastAsia="仿宋_GB2312" w:cs="Times New Roman"/>
          <w:kern w:val="2"/>
          <w:sz w:val="28"/>
          <w:szCs w:val="28"/>
          <w:lang w:val="en-US" w:eastAsia="zh-CN" w:bidi="ar-SA"/>
        </w:rPr>
        <w:t>其他附件：调研监测报告，试验和验证报告，采用国际或国外标准的原文和翻译稿等。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0182E"/>
    <w:multiLevelType w:val="multilevel"/>
    <w:tmpl w:val="0C40182E"/>
    <w:lvl w:ilvl="0" w:tentative="0">
      <w:start w:val="1"/>
      <w:numFmt w:val="chineseCountingThousand"/>
      <w:lvlText w:val="(%1)"/>
      <w:lvlJc w:val="left"/>
      <w:pPr>
        <w:ind w:left="1064" w:hanging="420"/>
      </w:pPr>
    </w:lvl>
    <w:lvl w:ilvl="1" w:tentative="0">
      <w:start w:val="1"/>
      <w:numFmt w:val="lowerLetter"/>
      <w:lvlText w:val="%2)"/>
      <w:lvlJc w:val="left"/>
      <w:pPr>
        <w:ind w:left="1484" w:hanging="420"/>
      </w:pPr>
    </w:lvl>
    <w:lvl w:ilvl="2" w:tentative="0">
      <w:start w:val="1"/>
      <w:numFmt w:val="lowerRoman"/>
      <w:lvlText w:val="%3."/>
      <w:lvlJc w:val="right"/>
      <w:pPr>
        <w:ind w:left="1904" w:hanging="420"/>
      </w:pPr>
    </w:lvl>
    <w:lvl w:ilvl="3" w:tentative="0">
      <w:start w:val="1"/>
      <w:numFmt w:val="decimal"/>
      <w:lvlText w:val="%4."/>
      <w:lvlJc w:val="left"/>
      <w:pPr>
        <w:ind w:left="2324" w:hanging="420"/>
      </w:pPr>
    </w:lvl>
    <w:lvl w:ilvl="4" w:tentative="0">
      <w:start w:val="1"/>
      <w:numFmt w:val="lowerLetter"/>
      <w:lvlText w:val="%5)"/>
      <w:lvlJc w:val="left"/>
      <w:pPr>
        <w:ind w:left="2744" w:hanging="420"/>
      </w:pPr>
    </w:lvl>
    <w:lvl w:ilvl="5" w:tentative="0">
      <w:start w:val="1"/>
      <w:numFmt w:val="lowerRoman"/>
      <w:lvlText w:val="%6."/>
      <w:lvlJc w:val="right"/>
      <w:pPr>
        <w:ind w:left="3164" w:hanging="420"/>
      </w:pPr>
    </w:lvl>
    <w:lvl w:ilvl="6" w:tentative="0">
      <w:start w:val="1"/>
      <w:numFmt w:val="decimal"/>
      <w:lvlText w:val="%7."/>
      <w:lvlJc w:val="left"/>
      <w:pPr>
        <w:ind w:left="3584" w:hanging="420"/>
      </w:pPr>
    </w:lvl>
    <w:lvl w:ilvl="7" w:tentative="0">
      <w:start w:val="1"/>
      <w:numFmt w:val="lowerLetter"/>
      <w:lvlText w:val="%8)"/>
      <w:lvlJc w:val="left"/>
      <w:pPr>
        <w:ind w:left="4004" w:hanging="420"/>
      </w:pPr>
    </w:lvl>
    <w:lvl w:ilvl="8" w:tentative="0">
      <w:start w:val="1"/>
      <w:numFmt w:val="lowerRoman"/>
      <w:lvlText w:val="%9."/>
      <w:lvlJc w:val="right"/>
      <w:pPr>
        <w:ind w:left="4424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571366"/>
    <w:rsid w:val="4A571366"/>
    <w:rsid w:val="54B72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rPr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2019-09-23T07:27:00Z</dcterms:created>
  <dc:creator>zkw</dc:creator>
  <cp:lastModifiedBy>WPS_1559523732</cp:lastModifiedBy>
  <dcterms:modified xsi:type="dcterms:W3CDTF">2020-12-23T02:26:15Z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