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Theme="majorEastAsia" w:hAnsiTheme="majorEastAsia" w:eastAsiaTheme="majorEastAsia" w:cstheme="majorEastAsia"/>
          <w:b/>
          <w:bCs/>
          <w:sz w:val="36"/>
          <w:szCs w:val="36"/>
          <w:lang w:val="en-US" w:eastAsia="zh-CN"/>
        </w:rPr>
      </w:pPr>
      <w:r>
        <w:rPr>
          <w:rFonts w:hint="eastAsia" w:asciiTheme="majorEastAsia" w:hAnsiTheme="majorEastAsia" w:eastAsiaTheme="majorEastAsia" w:cstheme="majorEastAsia"/>
          <w:b/>
          <w:bCs/>
          <w:sz w:val="36"/>
          <w:szCs w:val="36"/>
          <w:lang w:val="en-US" w:eastAsia="zh-CN"/>
        </w:rPr>
        <w:t>2020年环境技术进步奖公示材料</w:t>
      </w:r>
    </w:p>
    <w:p>
      <w:pPr>
        <w:jc w:val="both"/>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项目一：</w:t>
      </w:r>
    </w:p>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2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2" w:hRule="atLeast"/>
        </w:trPr>
        <w:tc>
          <w:tcPr>
            <w:tcW w:w="2290" w:type="dxa"/>
            <w:vAlign w:val="center"/>
          </w:tcPr>
          <w:p>
            <w:pPr>
              <w:jc w:val="center"/>
              <w:rPr>
                <w:rFonts w:hint="eastAsia" w:ascii="仿宋" w:hAnsi="仿宋" w:eastAsia="仿宋" w:cs="仿宋"/>
                <w:b/>
                <w:bCs/>
                <w:sz w:val="28"/>
                <w:szCs w:val="28"/>
                <w:vertAlign w:val="baseline"/>
                <w:lang w:val="en-US" w:eastAsia="zh-CN"/>
              </w:rPr>
            </w:pPr>
            <w:r>
              <w:rPr>
                <w:rFonts w:hint="eastAsia" w:ascii="仿宋" w:hAnsi="仿宋" w:eastAsia="仿宋" w:cs="仿宋"/>
                <w:b/>
                <w:bCs/>
                <w:sz w:val="28"/>
                <w:szCs w:val="28"/>
                <w:vertAlign w:val="baseline"/>
                <w:lang w:val="en-US" w:eastAsia="zh-CN"/>
              </w:rPr>
              <w:t>项目名称</w:t>
            </w:r>
          </w:p>
        </w:tc>
        <w:tc>
          <w:tcPr>
            <w:tcW w:w="6232" w:type="dxa"/>
            <w:vAlign w:val="center"/>
          </w:tcPr>
          <w:p>
            <w:pPr>
              <w:spacing w:line="360" w:lineRule="auto"/>
              <w:jc w:val="center"/>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基于功能材料的VOCs强化富集及低温催化燃烧技术</w:t>
            </w:r>
            <w:bookmarkStart w:id="0" w:name="_GoBack"/>
            <w:bookmarkEnd w:id="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5" w:hRule="atLeast"/>
        </w:trPr>
        <w:tc>
          <w:tcPr>
            <w:tcW w:w="2290" w:type="dxa"/>
            <w:vAlign w:val="center"/>
          </w:tcPr>
          <w:p>
            <w:pPr>
              <w:jc w:val="center"/>
              <w:rPr>
                <w:rFonts w:hint="eastAsia" w:ascii="仿宋" w:hAnsi="仿宋" w:eastAsia="仿宋" w:cs="仿宋"/>
                <w:b/>
                <w:bCs/>
                <w:sz w:val="28"/>
                <w:szCs w:val="28"/>
                <w:vertAlign w:val="baseline"/>
                <w:lang w:val="en-US" w:eastAsia="zh-CN"/>
              </w:rPr>
            </w:pPr>
            <w:r>
              <w:rPr>
                <w:rFonts w:hint="eastAsia" w:ascii="仿宋" w:hAnsi="仿宋" w:eastAsia="仿宋" w:cs="仿宋"/>
                <w:b/>
                <w:bCs/>
                <w:sz w:val="28"/>
                <w:szCs w:val="28"/>
                <w:vertAlign w:val="baseline"/>
                <w:lang w:val="en-US" w:eastAsia="zh-CN"/>
              </w:rPr>
              <w:t>主要完成单位</w:t>
            </w:r>
          </w:p>
        </w:tc>
        <w:tc>
          <w:tcPr>
            <w:tcW w:w="6232" w:type="dxa"/>
            <w:vAlign w:val="center"/>
          </w:tcPr>
          <w:p>
            <w:pPr>
              <w:spacing w:line="360" w:lineRule="auto"/>
              <w:jc w:val="center"/>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航天凯天环保科技股份有限公司，中南大学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8" w:hRule="atLeast"/>
        </w:trPr>
        <w:tc>
          <w:tcPr>
            <w:tcW w:w="2290" w:type="dxa"/>
            <w:vAlign w:val="center"/>
          </w:tcPr>
          <w:p>
            <w:pPr>
              <w:jc w:val="center"/>
              <w:rPr>
                <w:rFonts w:hint="eastAsia" w:ascii="仿宋" w:hAnsi="仿宋" w:eastAsia="仿宋" w:cs="仿宋"/>
                <w:b/>
                <w:bCs/>
                <w:sz w:val="28"/>
                <w:szCs w:val="28"/>
                <w:vertAlign w:val="baseline"/>
                <w:lang w:val="en-US" w:eastAsia="zh-CN"/>
              </w:rPr>
            </w:pPr>
            <w:r>
              <w:rPr>
                <w:rFonts w:hint="eastAsia" w:ascii="仿宋" w:hAnsi="仿宋" w:eastAsia="仿宋" w:cs="仿宋"/>
                <w:b/>
                <w:bCs/>
                <w:sz w:val="28"/>
                <w:szCs w:val="28"/>
                <w:vertAlign w:val="baseline"/>
                <w:lang w:val="en-US" w:eastAsia="zh-CN"/>
              </w:rPr>
              <w:t>主要完成人</w:t>
            </w:r>
          </w:p>
        </w:tc>
        <w:tc>
          <w:tcPr>
            <w:tcW w:w="6232" w:type="dxa"/>
            <w:vAlign w:val="center"/>
          </w:tcPr>
          <w:p>
            <w:pPr>
              <w:spacing w:line="360" w:lineRule="auto"/>
              <w:jc w:val="center"/>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李立清，曾毅夫，何曦，曾政，周益辉，叶明强，马卫武，石瑞，苏长青，刘彰，刘伟，王延斌，彭芬，刘胜强，陈若菲</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2" w:hRule="atLeast"/>
        </w:trPr>
        <w:tc>
          <w:tcPr>
            <w:tcW w:w="2290" w:type="dxa"/>
            <w:vAlign w:val="center"/>
          </w:tcPr>
          <w:p>
            <w:pPr>
              <w:jc w:val="center"/>
              <w:rPr>
                <w:rFonts w:hint="eastAsia" w:ascii="仿宋" w:hAnsi="仿宋" w:eastAsia="仿宋" w:cs="仿宋"/>
                <w:b/>
                <w:bCs/>
                <w:sz w:val="28"/>
                <w:szCs w:val="28"/>
                <w:vertAlign w:val="baseline"/>
                <w:lang w:val="en-US" w:eastAsia="zh-CN"/>
              </w:rPr>
            </w:pPr>
            <w:r>
              <w:rPr>
                <w:rFonts w:hint="eastAsia" w:ascii="仿宋" w:hAnsi="仿宋" w:eastAsia="仿宋" w:cs="仿宋"/>
                <w:b/>
                <w:bCs/>
                <w:sz w:val="28"/>
                <w:szCs w:val="28"/>
                <w:vertAlign w:val="baseline"/>
                <w:lang w:val="en-US" w:eastAsia="zh-CN"/>
              </w:rPr>
              <w:t>项目简介</w:t>
            </w:r>
          </w:p>
        </w:tc>
        <w:tc>
          <w:tcPr>
            <w:tcW w:w="6232" w:type="dxa"/>
            <w:vAlign w:val="center"/>
          </w:tcPr>
          <w:p>
            <w:pPr>
              <w:keepNext w:val="0"/>
              <w:keepLines w:val="0"/>
              <w:pageBreakBefore w:val="0"/>
              <w:widowControl w:val="0"/>
              <w:kinsoku/>
              <w:wordWrap/>
              <w:overflowPunct/>
              <w:topLinePunct w:val="0"/>
              <w:autoSpaceDE/>
              <w:autoSpaceDN/>
              <w:bidi w:val="0"/>
              <w:adjustRightInd/>
              <w:snapToGrid/>
              <w:spacing w:line="400" w:lineRule="exact"/>
              <w:ind w:firstLine="420" w:firstLineChars="200"/>
              <w:jc w:val="both"/>
              <w:textAlignment w:val="auto"/>
              <w:rPr>
                <w:rFonts w:hint="eastAsia" w:ascii="仿宋" w:hAnsi="仿宋" w:eastAsia="仿宋" w:cs="仿宋"/>
                <w:sz w:val="21"/>
                <w:szCs w:val="21"/>
              </w:rPr>
            </w:pPr>
            <w:r>
              <w:rPr>
                <w:rFonts w:hint="eastAsia" w:ascii="仿宋" w:hAnsi="仿宋" w:eastAsia="仿宋" w:cs="仿宋"/>
                <w:sz w:val="21"/>
                <w:szCs w:val="21"/>
              </w:rPr>
              <w:t>源于工业源排放的VOCs种类多，组分复杂，并呈现大流量，变工况，非稳态和浓度低特征，用传统物理吸附、化学催化等技术无法实现有效治理。研究团队历经多年持续攻关，创研了系列功能新材料、新技术及新装备，并实现规模化工程应用，攻克了低浓度VOCs深度净化、超低排放的技术难题。主要技术创新点如下：</w:t>
            </w:r>
          </w:p>
          <w:p>
            <w:pPr>
              <w:keepNext w:val="0"/>
              <w:keepLines w:val="0"/>
              <w:pageBreakBefore w:val="0"/>
              <w:widowControl w:val="0"/>
              <w:kinsoku/>
              <w:wordWrap/>
              <w:overflowPunct/>
              <w:topLinePunct w:val="0"/>
              <w:autoSpaceDE/>
              <w:autoSpaceDN/>
              <w:bidi w:val="0"/>
              <w:adjustRightInd/>
              <w:snapToGrid/>
              <w:spacing w:line="400" w:lineRule="exact"/>
              <w:ind w:firstLine="420" w:firstLineChars="200"/>
              <w:jc w:val="both"/>
              <w:textAlignment w:val="auto"/>
              <w:rPr>
                <w:rFonts w:hint="eastAsia" w:ascii="仿宋" w:hAnsi="仿宋" w:eastAsia="仿宋" w:cs="仿宋"/>
                <w:sz w:val="21"/>
                <w:szCs w:val="21"/>
              </w:rPr>
            </w:pPr>
            <w:r>
              <w:rPr>
                <w:rFonts w:hint="eastAsia" w:ascii="仿宋" w:hAnsi="仿宋" w:eastAsia="仿宋" w:cs="仿宋"/>
                <w:sz w:val="21"/>
                <w:szCs w:val="21"/>
              </w:rPr>
              <w:t>1. 目标导向调控及有序构建功能化炭吸附材料</w:t>
            </w:r>
          </w:p>
          <w:p>
            <w:pPr>
              <w:keepNext w:val="0"/>
              <w:keepLines w:val="0"/>
              <w:pageBreakBefore w:val="0"/>
              <w:widowControl w:val="0"/>
              <w:kinsoku/>
              <w:wordWrap/>
              <w:overflowPunct/>
              <w:topLinePunct w:val="0"/>
              <w:autoSpaceDE/>
              <w:autoSpaceDN/>
              <w:bidi w:val="0"/>
              <w:adjustRightInd/>
              <w:snapToGrid/>
              <w:spacing w:line="400" w:lineRule="exact"/>
              <w:ind w:firstLine="420" w:firstLineChars="200"/>
              <w:jc w:val="both"/>
              <w:textAlignment w:val="auto"/>
              <w:rPr>
                <w:rFonts w:hint="eastAsia" w:ascii="仿宋" w:hAnsi="仿宋" w:eastAsia="仿宋" w:cs="仿宋"/>
                <w:sz w:val="21"/>
                <w:szCs w:val="21"/>
              </w:rPr>
            </w:pPr>
            <w:r>
              <w:rPr>
                <w:rFonts w:hint="eastAsia" w:ascii="仿宋" w:hAnsi="仿宋" w:eastAsia="仿宋" w:cs="仿宋"/>
                <w:sz w:val="21"/>
                <w:szCs w:val="21"/>
              </w:rPr>
              <w:t>针对低浓度VOCs低驱动力下强化吸附富集的难题，创研了表面官能团孔效应协同的功能性强化吸附富集材料，构建选择性强化吸附的活性位，从而制备出具有高吸附容量和高选择性的新型功能化强化吸附材料。实现VOCs在功能性活性炭吸附容量比传统吸附材料提升30-100%，燃点温度提升50℃左右，VOCs被深度净化至＜3mg/m³。</w:t>
            </w:r>
          </w:p>
          <w:p>
            <w:pPr>
              <w:keepNext w:val="0"/>
              <w:keepLines w:val="0"/>
              <w:pageBreakBefore w:val="0"/>
              <w:widowControl w:val="0"/>
              <w:kinsoku/>
              <w:wordWrap/>
              <w:overflowPunct/>
              <w:topLinePunct w:val="0"/>
              <w:autoSpaceDE/>
              <w:autoSpaceDN/>
              <w:bidi w:val="0"/>
              <w:adjustRightInd/>
              <w:snapToGrid/>
              <w:spacing w:line="400" w:lineRule="exact"/>
              <w:ind w:firstLine="420" w:firstLineChars="200"/>
              <w:jc w:val="both"/>
              <w:textAlignment w:val="auto"/>
              <w:rPr>
                <w:rFonts w:hint="eastAsia" w:ascii="仿宋" w:hAnsi="仿宋" w:eastAsia="仿宋" w:cs="仿宋"/>
                <w:sz w:val="21"/>
                <w:szCs w:val="21"/>
              </w:rPr>
            </w:pPr>
            <w:r>
              <w:rPr>
                <w:rFonts w:hint="eastAsia" w:ascii="仿宋" w:hAnsi="仿宋" w:eastAsia="仿宋" w:cs="仿宋"/>
                <w:sz w:val="21"/>
                <w:szCs w:val="21"/>
              </w:rPr>
              <w:t>2. 合成高效气固相催化净化材料</w:t>
            </w:r>
          </w:p>
          <w:p>
            <w:pPr>
              <w:keepNext w:val="0"/>
              <w:keepLines w:val="0"/>
              <w:pageBreakBefore w:val="0"/>
              <w:widowControl w:val="0"/>
              <w:kinsoku/>
              <w:wordWrap/>
              <w:overflowPunct/>
              <w:topLinePunct w:val="0"/>
              <w:autoSpaceDE/>
              <w:autoSpaceDN/>
              <w:bidi w:val="0"/>
              <w:adjustRightInd/>
              <w:snapToGrid/>
              <w:spacing w:line="400" w:lineRule="exact"/>
              <w:ind w:firstLine="420" w:firstLineChars="200"/>
              <w:jc w:val="both"/>
              <w:textAlignment w:val="auto"/>
              <w:rPr>
                <w:rFonts w:hint="eastAsia" w:ascii="仿宋" w:hAnsi="仿宋" w:eastAsia="仿宋" w:cs="仿宋"/>
                <w:sz w:val="21"/>
                <w:szCs w:val="21"/>
              </w:rPr>
            </w:pPr>
            <w:r>
              <w:rPr>
                <w:rFonts w:hint="eastAsia" w:ascii="仿宋" w:hAnsi="仿宋" w:eastAsia="仿宋" w:cs="仿宋"/>
                <w:sz w:val="21"/>
                <w:szCs w:val="21"/>
              </w:rPr>
              <w:t>针对低温条件下催化剂活性低且运行不稳定的技术难题，研创了高抗性，低温，环境友好，性价比高的少贵金属金属间化合物VOCs氧化催化剂</w:t>
            </w:r>
            <w:r>
              <w:rPr>
                <w:rFonts w:hint="eastAsia" w:ascii="仿宋" w:hAnsi="仿宋" w:eastAsia="仿宋" w:cs="仿宋"/>
                <w:sz w:val="21"/>
                <w:szCs w:val="21"/>
                <w:lang w:eastAsia="zh-CN"/>
              </w:rPr>
              <w:t>，</w:t>
            </w:r>
            <w:r>
              <w:rPr>
                <w:rFonts w:hint="eastAsia" w:ascii="仿宋" w:hAnsi="仿宋" w:eastAsia="仿宋" w:cs="仿宋"/>
                <w:sz w:val="21"/>
                <w:szCs w:val="21"/>
              </w:rPr>
              <w:t>在250℃以上甲苯的转化率接近100%。实现低温条件下VOCs高效净化，深度净化至＜3mg/m³。</w:t>
            </w:r>
          </w:p>
          <w:p>
            <w:pPr>
              <w:keepNext w:val="0"/>
              <w:keepLines w:val="0"/>
              <w:pageBreakBefore w:val="0"/>
              <w:widowControl w:val="0"/>
              <w:kinsoku/>
              <w:wordWrap/>
              <w:overflowPunct/>
              <w:topLinePunct w:val="0"/>
              <w:autoSpaceDE/>
              <w:autoSpaceDN/>
              <w:bidi w:val="0"/>
              <w:adjustRightInd/>
              <w:snapToGrid/>
              <w:spacing w:line="400" w:lineRule="exact"/>
              <w:ind w:firstLine="420" w:firstLineChars="200"/>
              <w:jc w:val="both"/>
              <w:textAlignment w:val="auto"/>
              <w:rPr>
                <w:rFonts w:hint="eastAsia" w:ascii="仿宋" w:hAnsi="仿宋" w:eastAsia="仿宋" w:cs="仿宋"/>
                <w:sz w:val="21"/>
                <w:szCs w:val="21"/>
              </w:rPr>
            </w:pPr>
            <w:r>
              <w:rPr>
                <w:rFonts w:hint="eastAsia" w:ascii="仿宋" w:hAnsi="仿宋" w:eastAsia="仿宋" w:cs="仿宋"/>
                <w:sz w:val="21"/>
                <w:szCs w:val="21"/>
              </w:rPr>
              <w:t>3. 开发精密过滤/强化吸附富集/催化氧化多功能材料模块化组合净化工艺与装备</w:t>
            </w:r>
          </w:p>
          <w:p>
            <w:pPr>
              <w:keepNext w:val="0"/>
              <w:keepLines w:val="0"/>
              <w:pageBreakBefore w:val="0"/>
              <w:widowControl w:val="0"/>
              <w:kinsoku/>
              <w:wordWrap/>
              <w:overflowPunct/>
              <w:topLinePunct w:val="0"/>
              <w:autoSpaceDE/>
              <w:autoSpaceDN/>
              <w:bidi w:val="0"/>
              <w:adjustRightInd/>
              <w:snapToGrid/>
              <w:spacing w:line="400" w:lineRule="exact"/>
              <w:ind w:firstLine="420" w:firstLineChars="200"/>
              <w:jc w:val="both"/>
              <w:textAlignment w:val="auto"/>
              <w:rPr>
                <w:rFonts w:hint="eastAsia" w:ascii="仿宋" w:hAnsi="仿宋" w:eastAsia="仿宋" w:cs="仿宋"/>
                <w:sz w:val="21"/>
                <w:szCs w:val="21"/>
              </w:rPr>
            </w:pPr>
            <w:r>
              <w:rPr>
                <w:rFonts w:hint="eastAsia" w:ascii="仿宋" w:hAnsi="仿宋" w:eastAsia="仿宋" w:cs="仿宋"/>
                <w:sz w:val="21"/>
                <w:szCs w:val="21"/>
              </w:rPr>
              <w:t>针对工业污染源大流量，变工况，非稳态低浓度挥发性有机污染物控制难题，基于创研的功能性高效吸附剂和催化剂，发明了“精密过滤/强化吸附富集/催化氧化”多功能模块化技术与装备，攻克了漆雾精密过滤与低浓度VOCs低驱动力下强化吸附富集并低温催化降解的技术难题。VOCs去除率达90-98%，深度净化至＜3mg/m³。</w:t>
            </w:r>
          </w:p>
          <w:p>
            <w:pPr>
              <w:keepNext w:val="0"/>
              <w:keepLines w:val="0"/>
              <w:pageBreakBefore w:val="0"/>
              <w:widowControl w:val="0"/>
              <w:kinsoku/>
              <w:wordWrap/>
              <w:overflowPunct/>
              <w:topLinePunct w:val="0"/>
              <w:autoSpaceDE/>
              <w:autoSpaceDN/>
              <w:bidi w:val="0"/>
              <w:adjustRightInd/>
              <w:snapToGrid/>
              <w:spacing w:line="400" w:lineRule="exact"/>
              <w:ind w:firstLine="420" w:firstLineChars="200"/>
              <w:jc w:val="both"/>
              <w:textAlignment w:val="auto"/>
              <w:rPr>
                <w:rFonts w:hint="eastAsia" w:ascii="仿宋" w:hAnsi="仿宋" w:eastAsia="仿宋" w:cs="仿宋"/>
                <w:sz w:val="21"/>
                <w:szCs w:val="21"/>
              </w:rPr>
            </w:pPr>
            <w:r>
              <w:rPr>
                <w:rFonts w:hint="eastAsia" w:ascii="仿宋" w:hAnsi="仿宋" w:eastAsia="仿宋" w:cs="仿宋"/>
                <w:sz w:val="21"/>
                <w:szCs w:val="21"/>
              </w:rPr>
              <w:t>4. 开发VOCs吸附富集/催化氧化过程模拟及其智能优化技术</w:t>
            </w:r>
          </w:p>
          <w:p>
            <w:pPr>
              <w:keepNext w:val="0"/>
              <w:keepLines w:val="0"/>
              <w:pageBreakBefore w:val="0"/>
              <w:widowControl w:val="0"/>
              <w:kinsoku/>
              <w:wordWrap/>
              <w:overflowPunct/>
              <w:topLinePunct w:val="0"/>
              <w:autoSpaceDE/>
              <w:autoSpaceDN/>
              <w:bidi w:val="0"/>
              <w:adjustRightInd/>
              <w:snapToGrid/>
              <w:spacing w:line="400" w:lineRule="exact"/>
              <w:ind w:firstLine="420" w:firstLineChars="200"/>
              <w:jc w:val="both"/>
              <w:textAlignment w:val="auto"/>
              <w:rPr>
                <w:rFonts w:hint="eastAsia" w:ascii="仿宋" w:hAnsi="仿宋" w:eastAsia="仿宋" w:cs="仿宋"/>
                <w:sz w:val="21"/>
                <w:szCs w:val="21"/>
              </w:rPr>
            </w:pPr>
            <w:r>
              <w:rPr>
                <w:rFonts w:hint="eastAsia" w:ascii="仿宋" w:hAnsi="仿宋" w:eastAsia="仿宋" w:cs="仿宋"/>
                <w:sz w:val="21"/>
                <w:szCs w:val="21"/>
              </w:rPr>
              <w:t>针对吸附及催化过程传质与传热的耦合影响难题，创建活性炭吸附催化过程传热与传质耦合影响数学模型，开发了吸附催化过程模拟软件，实现了对吸附催化过程高精度数值模拟。</w:t>
            </w:r>
          </w:p>
          <w:p>
            <w:pPr>
              <w:keepNext w:val="0"/>
              <w:keepLines w:val="0"/>
              <w:pageBreakBefore w:val="0"/>
              <w:widowControl w:val="0"/>
              <w:kinsoku/>
              <w:wordWrap/>
              <w:overflowPunct/>
              <w:topLinePunct w:val="0"/>
              <w:autoSpaceDE/>
              <w:autoSpaceDN/>
              <w:bidi w:val="0"/>
              <w:adjustRightInd/>
              <w:snapToGrid/>
              <w:spacing w:line="400" w:lineRule="exact"/>
              <w:ind w:firstLine="420" w:firstLineChars="200"/>
              <w:jc w:val="both"/>
              <w:textAlignment w:val="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相关研究成果</w:t>
            </w:r>
            <w:r>
              <w:rPr>
                <w:rFonts w:hint="eastAsia" w:ascii="仿宋" w:hAnsi="仿宋" w:eastAsia="仿宋" w:cs="仿宋"/>
                <w:sz w:val="21"/>
                <w:szCs w:val="21"/>
              </w:rPr>
              <w:t>共申请授权相关专利37项，其中发明专利 24项，发表发表高影响SCI论文近70篇</w:t>
            </w:r>
            <w:r>
              <w:rPr>
                <w:rFonts w:hint="eastAsia" w:ascii="仿宋" w:hAnsi="仿宋" w:eastAsia="仿宋" w:cs="仿宋"/>
                <w:sz w:val="21"/>
                <w:szCs w:val="21"/>
                <w:lang w:eastAsia="zh-CN"/>
              </w:rPr>
              <w:t>，</w:t>
            </w:r>
            <w:r>
              <w:rPr>
                <w:rFonts w:hint="eastAsia" w:ascii="仿宋" w:hAnsi="仿宋" w:eastAsia="仿宋" w:cs="仿宋"/>
                <w:sz w:val="21"/>
                <w:szCs w:val="21"/>
                <w:lang w:val="en-US" w:eastAsia="zh-CN"/>
              </w:rPr>
              <w:t>他引次数近1000余次，对行业技术进步、产业发展产生了显著的促进作用。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3" w:hRule="atLeast"/>
        </w:trPr>
        <w:tc>
          <w:tcPr>
            <w:tcW w:w="2290" w:type="dxa"/>
            <w:vAlign w:val="center"/>
          </w:tcPr>
          <w:p>
            <w:pPr>
              <w:jc w:val="center"/>
              <w:rPr>
                <w:rFonts w:hint="eastAsia" w:ascii="仿宋" w:hAnsi="仿宋" w:eastAsia="仿宋" w:cs="仿宋"/>
                <w:b/>
                <w:bCs/>
                <w:sz w:val="32"/>
                <w:szCs w:val="32"/>
                <w:vertAlign w:val="baseline"/>
                <w:lang w:val="en-US" w:eastAsia="zh-CN"/>
              </w:rPr>
            </w:pPr>
            <w:r>
              <w:rPr>
                <w:rFonts w:hint="eastAsia" w:ascii="仿宋" w:hAnsi="仿宋" w:eastAsia="仿宋" w:cs="仿宋"/>
                <w:b/>
                <w:bCs/>
                <w:sz w:val="28"/>
                <w:szCs w:val="28"/>
                <w:vertAlign w:val="baseline"/>
                <w:lang w:val="en-US" w:eastAsia="zh-CN"/>
              </w:rPr>
              <w:t>推广应用情况及效益</w:t>
            </w:r>
          </w:p>
        </w:tc>
        <w:tc>
          <w:tcPr>
            <w:tcW w:w="6232" w:type="dxa"/>
            <w:vAlign w:val="center"/>
          </w:tcPr>
          <w:p>
            <w:pPr>
              <w:spacing w:line="360" w:lineRule="auto"/>
              <w:ind w:firstLine="420" w:firstLineChars="200"/>
              <w:jc w:val="both"/>
              <w:rPr>
                <w:rFonts w:hint="eastAsia" w:ascii="仿宋" w:hAnsi="仿宋" w:eastAsia="仿宋" w:cs="仿宋"/>
                <w:sz w:val="21"/>
                <w:szCs w:val="21"/>
                <w:lang w:val="en-US" w:eastAsia="zh-CN"/>
              </w:rPr>
            </w:pPr>
            <w:r>
              <w:rPr>
                <w:rFonts w:hint="eastAsia" w:ascii="仿宋" w:hAnsi="仿宋" w:eastAsia="仿宋" w:cs="仿宋"/>
                <w:sz w:val="21"/>
                <w:szCs w:val="21"/>
              </w:rPr>
              <w:t>该项成果的实施，安排就业人数为1000余人。在湖南省、广东省、山东省、上海、河北省等</w:t>
            </w:r>
            <w:r>
              <w:rPr>
                <w:rFonts w:hint="eastAsia" w:ascii="仿宋" w:hAnsi="仿宋" w:eastAsia="仿宋" w:cs="仿宋"/>
                <w:sz w:val="21"/>
                <w:szCs w:val="21"/>
                <w:lang w:val="en-US" w:eastAsia="zh-CN"/>
              </w:rPr>
              <w:t>20几个省份</w:t>
            </w:r>
            <w:r>
              <w:rPr>
                <w:rFonts w:hint="eastAsia" w:ascii="仿宋" w:hAnsi="仿宋" w:eastAsia="仿宋" w:cs="仿宋"/>
                <w:sz w:val="21"/>
                <w:szCs w:val="21"/>
              </w:rPr>
              <w:t>120余家</w:t>
            </w:r>
            <w:r>
              <w:rPr>
                <w:rFonts w:hint="eastAsia" w:ascii="仿宋" w:hAnsi="仿宋" w:eastAsia="仿宋" w:cs="仿宋"/>
                <w:sz w:val="21"/>
                <w:szCs w:val="21"/>
                <w:lang w:val="en-US" w:eastAsia="zh-CN"/>
              </w:rPr>
              <w:t>VOCs排放</w:t>
            </w:r>
            <w:r>
              <w:rPr>
                <w:rFonts w:hint="eastAsia" w:ascii="仿宋" w:hAnsi="仿宋" w:eastAsia="仿宋" w:cs="仿宋"/>
                <w:sz w:val="21"/>
                <w:szCs w:val="21"/>
              </w:rPr>
              <w:t>企事业单位得到广泛使用，涉及汽车制造业、金属制造业、化工业、建筑材料业、家具制造等多个工业生产、生活领域，三年来销售额超2.67亿元</w:t>
            </w:r>
            <w:r>
              <w:rPr>
                <w:rFonts w:hint="eastAsia" w:ascii="仿宋" w:hAnsi="仿宋" w:eastAsia="仿宋" w:cs="仿宋"/>
                <w:sz w:val="21"/>
                <w:szCs w:val="21"/>
                <w:lang w:eastAsia="zh-CN"/>
              </w:rPr>
              <w:t>，</w:t>
            </w:r>
            <w:r>
              <w:rPr>
                <w:rFonts w:hint="eastAsia" w:ascii="仿宋" w:hAnsi="仿宋" w:eastAsia="仿宋" w:cs="仿宋"/>
                <w:sz w:val="21"/>
                <w:szCs w:val="21"/>
              </w:rPr>
              <w:t>累计处理废气量超过1600亿m³</w:t>
            </w:r>
            <w:r>
              <w:rPr>
                <w:rFonts w:hint="eastAsia" w:ascii="仿宋" w:hAnsi="仿宋" w:eastAsia="仿宋" w:cs="仿宋"/>
                <w:sz w:val="21"/>
                <w:szCs w:val="21"/>
                <w:lang w:eastAsia="zh-CN"/>
              </w:rPr>
              <w:t>，</w:t>
            </w:r>
            <w:r>
              <w:rPr>
                <w:rFonts w:hint="eastAsia" w:ascii="仿宋" w:hAnsi="仿宋" w:eastAsia="仿宋" w:cs="仿宋"/>
                <w:sz w:val="21"/>
                <w:szCs w:val="21"/>
              </w:rPr>
              <w:t>减少工业环境中的漆雾3.65万吨，挥发性有机污染物1.78万吨，节约能源69万kWh。为预防、控制和消除环境对职工身体健康的危害有重要意义，为企业乃至国家的可持续发展做出贡献。</w:t>
            </w:r>
          </w:p>
        </w:tc>
      </w:tr>
    </w:tbl>
    <w:p>
      <w:pPr>
        <w:jc w:val="both"/>
        <w:rPr>
          <w:rFonts w:hint="eastAsia" w:asciiTheme="majorEastAsia" w:hAnsiTheme="majorEastAsia" w:eastAsiaTheme="majorEastAsia" w:cstheme="majorEastAsia"/>
          <w:b/>
          <w:bCs/>
          <w:sz w:val="36"/>
          <w:szCs w:val="36"/>
          <w:lang w:val="en-US" w:eastAsia="zh-CN"/>
        </w:rPr>
      </w:pPr>
    </w:p>
    <w:p>
      <w:pPr>
        <w:jc w:val="both"/>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项目二：</w:t>
      </w:r>
    </w:p>
    <w:tbl>
      <w:tblPr>
        <w:tblStyle w:val="5"/>
        <w:tblW w:w="860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38"/>
        <w:gridCol w:w="63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2" w:hRule="atLeast"/>
        </w:trPr>
        <w:tc>
          <w:tcPr>
            <w:tcW w:w="2238" w:type="dxa"/>
            <w:vAlign w:val="center"/>
          </w:tcPr>
          <w:p>
            <w:pPr>
              <w:keepNext w:val="0"/>
              <w:keepLines w:val="0"/>
              <w:pageBreakBefore w:val="0"/>
              <w:kinsoku/>
              <w:wordWrap/>
              <w:overflowPunct/>
              <w:topLinePunct w:val="0"/>
              <w:autoSpaceDN/>
              <w:bidi w:val="0"/>
              <w:spacing w:line="400" w:lineRule="exact"/>
              <w:jc w:val="center"/>
              <w:textAlignment w:val="auto"/>
              <w:rPr>
                <w:rFonts w:hint="eastAsia" w:ascii="仿宋" w:hAnsi="仿宋" w:eastAsia="仿宋" w:cs="仿宋"/>
                <w:b/>
                <w:bCs/>
                <w:sz w:val="28"/>
                <w:szCs w:val="28"/>
                <w:vertAlign w:val="baseline"/>
                <w:lang w:val="en-US" w:eastAsia="zh-CN"/>
              </w:rPr>
            </w:pPr>
            <w:r>
              <w:rPr>
                <w:rFonts w:hint="eastAsia" w:ascii="仿宋" w:hAnsi="仿宋" w:eastAsia="仿宋" w:cs="仿宋"/>
                <w:b/>
                <w:bCs/>
                <w:sz w:val="28"/>
                <w:szCs w:val="28"/>
                <w:vertAlign w:val="baseline"/>
                <w:lang w:val="en-US" w:eastAsia="zh-CN"/>
              </w:rPr>
              <w:t>项目名称</w:t>
            </w:r>
          </w:p>
        </w:tc>
        <w:tc>
          <w:tcPr>
            <w:tcW w:w="6368" w:type="dxa"/>
            <w:vAlign w:val="center"/>
          </w:tcPr>
          <w:p>
            <w:pPr>
              <w:keepNext w:val="0"/>
              <w:keepLines w:val="0"/>
              <w:pageBreakBefore w:val="0"/>
              <w:widowControl/>
              <w:suppressLineNumbers w:val="0"/>
              <w:kinsoku/>
              <w:wordWrap/>
              <w:overflowPunct/>
              <w:topLinePunct w:val="0"/>
              <w:autoSpaceDN/>
              <w:bidi w:val="0"/>
              <w:spacing w:line="400" w:lineRule="exact"/>
              <w:jc w:val="center"/>
              <w:textAlignment w:val="auto"/>
              <w:rPr>
                <w:rFonts w:hint="eastAsia" w:ascii="仿宋" w:hAnsi="仿宋" w:eastAsia="仿宋" w:cs="仿宋"/>
                <w:b/>
                <w:bCs/>
                <w:sz w:val="21"/>
                <w:szCs w:val="21"/>
                <w:vertAlign w:val="baseline"/>
                <w:lang w:val="en-US" w:eastAsia="zh-CN"/>
              </w:rPr>
            </w:pPr>
            <w:r>
              <w:rPr>
                <w:rFonts w:hint="eastAsia" w:ascii="仿宋" w:hAnsi="仿宋" w:eastAsia="仿宋" w:cs="仿宋"/>
                <w:b/>
                <w:bCs/>
                <w:sz w:val="21"/>
                <w:szCs w:val="21"/>
                <w:vertAlign w:val="baseline"/>
                <w:lang w:val="en-US" w:eastAsia="zh-CN"/>
              </w:rPr>
              <w:t>粘性土壤污染场地绿色修复技术体系创建与应用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5" w:hRule="atLeast"/>
        </w:trPr>
        <w:tc>
          <w:tcPr>
            <w:tcW w:w="2238" w:type="dxa"/>
            <w:vAlign w:val="center"/>
          </w:tcPr>
          <w:p>
            <w:pPr>
              <w:keepNext w:val="0"/>
              <w:keepLines w:val="0"/>
              <w:pageBreakBefore w:val="0"/>
              <w:kinsoku/>
              <w:wordWrap/>
              <w:overflowPunct/>
              <w:topLinePunct w:val="0"/>
              <w:autoSpaceDN/>
              <w:bidi w:val="0"/>
              <w:spacing w:line="400" w:lineRule="exact"/>
              <w:jc w:val="center"/>
              <w:textAlignment w:val="auto"/>
              <w:rPr>
                <w:rFonts w:hint="eastAsia" w:ascii="仿宋" w:hAnsi="仿宋" w:eastAsia="仿宋" w:cs="仿宋"/>
                <w:b/>
                <w:bCs/>
                <w:sz w:val="28"/>
                <w:szCs w:val="28"/>
                <w:vertAlign w:val="baseline"/>
                <w:lang w:val="en-US" w:eastAsia="zh-CN"/>
              </w:rPr>
            </w:pPr>
            <w:r>
              <w:rPr>
                <w:rFonts w:hint="eastAsia" w:ascii="仿宋" w:hAnsi="仿宋" w:eastAsia="仿宋" w:cs="仿宋"/>
                <w:b/>
                <w:bCs/>
                <w:sz w:val="28"/>
                <w:szCs w:val="28"/>
                <w:vertAlign w:val="baseline"/>
                <w:lang w:val="en-US" w:eastAsia="zh-CN"/>
              </w:rPr>
              <w:t>主要完成单位</w:t>
            </w:r>
          </w:p>
        </w:tc>
        <w:tc>
          <w:tcPr>
            <w:tcW w:w="6368" w:type="dxa"/>
            <w:vAlign w:val="center"/>
          </w:tcPr>
          <w:p>
            <w:pPr>
              <w:keepNext w:val="0"/>
              <w:keepLines w:val="0"/>
              <w:pageBreakBefore w:val="0"/>
              <w:kinsoku/>
              <w:wordWrap/>
              <w:overflowPunct/>
              <w:topLinePunct w:val="0"/>
              <w:autoSpaceDN/>
              <w:bidi w:val="0"/>
              <w:spacing w:line="400" w:lineRule="exact"/>
              <w:jc w:val="center"/>
              <w:textAlignment w:val="auto"/>
              <w:rPr>
                <w:rFonts w:hint="eastAsia" w:ascii="仿宋" w:hAnsi="仿宋" w:eastAsia="仿宋" w:cs="仿宋"/>
                <w:b/>
                <w:bCs/>
                <w:sz w:val="21"/>
                <w:szCs w:val="21"/>
                <w:vertAlign w:val="baseline"/>
                <w:lang w:val="en-US" w:eastAsia="zh-CN"/>
              </w:rPr>
            </w:pPr>
            <w:r>
              <w:rPr>
                <w:rFonts w:hint="eastAsia" w:ascii="仿宋" w:hAnsi="仿宋" w:eastAsia="仿宋" w:cs="仿宋"/>
                <w:b/>
                <w:bCs/>
                <w:sz w:val="21"/>
                <w:szCs w:val="21"/>
                <w:vertAlign w:val="baseline"/>
                <w:lang w:val="en-US" w:eastAsia="zh-CN"/>
              </w:rPr>
              <w:t>湖南恒凯环保科技投资有限公司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8" w:hRule="atLeast"/>
        </w:trPr>
        <w:tc>
          <w:tcPr>
            <w:tcW w:w="2238" w:type="dxa"/>
            <w:vAlign w:val="center"/>
          </w:tcPr>
          <w:p>
            <w:pPr>
              <w:keepNext w:val="0"/>
              <w:keepLines w:val="0"/>
              <w:pageBreakBefore w:val="0"/>
              <w:kinsoku/>
              <w:wordWrap/>
              <w:overflowPunct/>
              <w:topLinePunct w:val="0"/>
              <w:autoSpaceDN/>
              <w:bidi w:val="0"/>
              <w:spacing w:line="400" w:lineRule="exact"/>
              <w:jc w:val="center"/>
              <w:textAlignment w:val="auto"/>
              <w:rPr>
                <w:rFonts w:hint="eastAsia" w:ascii="仿宋" w:hAnsi="仿宋" w:eastAsia="仿宋" w:cs="仿宋"/>
                <w:b/>
                <w:bCs/>
                <w:sz w:val="28"/>
                <w:szCs w:val="28"/>
                <w:vertAlign w:val="baseline"/>
                <w:lang w:val="en-US" w:eastAsia="zh-CN"/>
              </w:rPr>
            </w:pPr>
            <w:r>
              <w:rPr>
                <w:rFonts w:hint="eastAsia" w:ascii="仿宋" w:hAnsi="仿宋" w:eastAsia="仿宋" w:cs="仿宋"/>
                <w:b/>
                <w:bCs/>
                <w:sz w:val="28"/>
                <w:szCs w:val="28"/>
                <w:vertAlign w:val="baseline"/>
                <w:lang w:val="en-US" w:eastAsia="zh-CN"/>
              </w:rPr>
              <w:t>主要完成人</w:t>
            </w:r>
          </w:p>
        </w:tc>
        <w:tc>
          <w:tcPr>
            <w:tcW w:w="6368"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b/>
                <w:bCs/>
                <w:sz w:val="21"/>
                <w:szCs w:val="21"/>
                <w:vertAlign w:val="baseline"/>
                <w:lang w:val="en-US" w:eastAsia="zh-CN"/>
              </w:rPr>
            </w:pPr>
            <w:r>
              <w:rPr>
                <w:rFonts w:hint="eastAsia" w:ascii="仿宋" w:hAnsi="仿宋" w:eastAsia="仿宋" w:cs="仿宋"/>
                <w:b/>
                <w:bCs/>
                <w:sz w:val="21"/>
                <w:szCs w:val="21"/>
                <w:vertAlign w:val="baseline"/>
                <w:lang w:val="en-US" w:eastAsia="zh-CN"/>
              </w:rPr>
              <w:t>罗文连，邢汉君，冉启洋，李晶，王巨涛，蒋燚，李智，刘智勇，张赛辉，方雅瑜，龙华运，雷磊，王子规，林晓敏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31" w:hRule="atLeast"/>
        </w:trPr>
        <w:tc>
          <w:tcPr>
            <w:tcW w:w="2238" w:type="dxa"/>
            <w:vAlign w:val="center"/>
          </w:tcPr>
          <w:p>
            <w:pPr>
              <w:keepNext w:val="0"/>
              <w:keepLines w:val="0"/>
              <w:pageBreakBefore w:val="0"/>
              <w:kinsoku/>
              <w:wordWrap/>
              <w:overflowPunct/>
              <w:topLinePunct w:val="0"/>
              <w:autoSpaceDN/>
              <w:bidi w:val="0"/>
              <w:spacing w:line="400" w:lineRule="exact"/>
              <w:jc w:val="center"/>
              <w:textAlignment w:val="auto"/>
              <w:rPr>
                <w:rFonts w:hint="eastAsia" w:ascii="仿宋" w:hAnsi="仿宋" w:eastAsia="仿宋" w:cs="仿宋"/>
                <w:b/>
                <w:bCs/>
                <w:sz w:val="28"/>
                <w:szCs w:val="28"/>
                <w:vertAlign w:val="baseline"/>
                <w:lang w:val="en-US" w:eastAsia="zh-CN"/>
              </w:rPr>
            </w:pPr>
            <w:r>
              <w:rPr>
                <w:rFonts w:hint="eastAsia" w:ascii="仿宋" w:hAnsi="仿宋" w:eastAsia="仿宋" w:cs="仿宋"/>
                <w:b/>
                <w:bCs/>
                <w:sz w:val="28"/>
                <w:szCs w:val="28"/>
                <w:vertAlign w:val="baseline"/>
                <w:lang w:val="en-US" w:eastAsia="zh-CN"/>
              </w:rPr>
              <w:t>项目简介</w:t>
            </w:r>
          </w:p>
        </w:tc>
        <w:tc>
          <w:tcPr>
            <w:tcW w:w="6368" w:type="dxa"/>
            <w:vAlign w:val="center"/>
          </w:tcPr>
          <w:p>
            <w:pPr>
              <w:keepNext w:val="0"/>
              <w:keepLines w:val="0"/>
              <w:pageBreakBefore w:val="0"/>
              <w:widowControl/>
              <w:suppressLineNumbers w:val="0"/>
              <w:kinsoku/>
              <w:wordWrap/>
              <w:overflowPunct/>
              <w:topLinePunct w:val="0"/>
              <w:autoSpaceDN/>
              <w:bidi w:val="0"/>
              <w:spacing w:line="400" w:lineRule="exact"/>
              <w:ind w:firstLine="420" w:firstLineChars="200"/>
              <w:jc w:val="left"/>
              <w:textAlignment w:val="auto"/>
              <w:rPr>
                <w:rFonts w:hint="eastAsia" w:ascii="仿宋" w:hAnsi="仿宋" w:eastAsia="仿宋" w:cs="仿宋"/>
                <w:sz w:val="21"/>
                <w:szCs w:val="21"/>
              </w:rPr>
            </w:pPr>
            <w:r>
              <w:rPr>
                <w:rFonts w:hint="eastAsia" w:ascii="仿宋" w:hAnsi="仿宋" w:eastAsia="仿宋" w:cs="仿宋"/>
                <w:color w:val="000000"/>
                <w:kern w:val="0"/>
                <w:sz w:val="21"/>
                <w:szCs w:val="21"/>
                <w:lang w:val="en-US" w:eastAsia="zh-CN" w:bidi="ar"/>
              </w:rPr>
              <w:t>粘性土壤是一类以细小颗粒（粒径小于0.002毫米）为主的土壤质地类型，在我国南方地区分布尤其广泛。据中国土壤特征数据集统计分析，我国区域内表层土壤中粘粒含量较高，粘性土壤（黏土或者粉质粘土）面积占比约为31.2%，南方地区高达70%。粘性土壤比表面积大，物理吸附性和表面交换活性高，导致其对污染物的容纳阻滞能力极强。研究表明，粘性土壤中典型重金属和有机污染物的含量显著高于沙土和壤土，使得粘性土壤污染问题尤为突出。</w:t>
            </w:r>
          </w:p>
          <w:p>
            <w:pPr>
              <w:keepNext w:val="0"/>
              <w:keepLines w:val="0"/>
              <w:pageBreakBefore w:val="0"/>
              <w:widowControl/>
              <w:suppressLineNumbers w:val="0"/>
              <w:kinsoku/>
              <w:wordWrap/>
              <w:overflowPunct/>
              <w:topLinePunct w:val="0"/>
              <w:autoSpaceDN/>
              <w:bidi w:val="0"/>
              <w:spacing w:line="400" w:lineRule="exact"/>
              <w:ind w:firstLine="420" w:firstLineChars="200"/>
              <w:jc w:val="left"/>
              <w:textAlignment w:val="auto"/>
              <w:rPr>
                <w:rFonts w:hint="eastAsia" w:ascii="仿宋" w:hAnsi="仿宋" w:eastAsia="仿宋" w:cs="仿宋"/>
                <w:sz w:val="21"/>
                <w:szCs w:val="21"/>
              </w:rPr>
            </w:pPr>
            <w:r>
              <w:rPr>
                <w:rFonts w:hint="eastAsia" w:ascii="仿宋" w:hAnsi="仿宋" w:eastAsia="仿宋" w:cs="仿宋"/>
                <w:color w:val="000000"/>
                <w:kern w:val="0"/>
                <w:sz w:val="21"/>
                <w:szCs w:val="21"/>
                <w:lang w:val="en-US" w:eastAsia="zh-CN" w:bidi="ar"/>
              </w:rPr>
              <w:t>因此，本项目瞄准粘性土壤场地污染修复的重大技术需求，针对现有修复技术存在的瓶颈问题，构建了粘性土壤污染场地绿色修复技术体系，使修复成本降低12%以上，重金属稳定效率相比同类技术提高了约10%，有机污染物去除效率相比同类技术增加了约15%，同时缩短了修复周期，提高了修复后土壤微生态环境，最终实现了粘土场地重金属/有机污染绿色、长效、低成本治理，主要技术内容如下：</w:t>
            </w:r>
          </w:p>
          <w:p>
            <w:pPr>
              <w:keepNext w:val="0"/>
              <w:keepLines w:val="0"/>
              <w:pageBreakBefore w:val="0"/>
              <w:widowControl/>
              <w:suppressLineNumbers w:val="0"/>
              <w:kinsoku/>
              <w:wordWrap/>
              <w:overflowPunct/>
              <w:topLinePunct w:val="0"/>
              <w:autoSpaceDN/>
              <w:bidi w:val="0"/>
              <w:spacing w:line="400" w:lineRule="exact"/>
              <w:ind w:firstLine="422" w:firstLineChars="200"/>
              <w:jc w:val="left"/>
              <w:textAlignment w:val="auto"/>
              <w:rPr>
                <w:rFonts w:hint="eastAsia" w:ascii="仿宋" w:hAnsi="仿宋" w:eastAsia="仿宋" w:cs="仿宋"/>
                <w:sz w:val="21"/>
                <w:szCs w:val="21"/>
              </w:rPr>
            </w:pPr>
            <w:r>
              <w:rPr>
                <w:rFonts w:hint="eastAsia" w:ascii="仿宋" w:hAnsi="仿宋" w:eastAsia="仿宋" w:cs="仿宋"/>
                <w:b/>
                <w:bCs/>
                <w:color w:val="000000"/>
                <w:kern w:val="0"/>
                <w:sz w:val="21"/>
                <w:szCs w:val="21"/>
                <w:lang w:val="en-US" w:eastAsia="zh-CN" w:bidi="ar"/>
              </w:rPr>
              <w:t>（1）</w:t>
            </w:r>
            <w:r>
              <w:rPr>
                <w:rFonts w:hint="eastAsia" w:ascii="仿宋" w:hAnsi="仿宋" w:eastAsia="仿宋" w:cs="仿宋"/>
                <w:b/>
                <w:color w:val="000000"/>
                <w:kern w:val="0"/>
                <w:sz w:val="21"/>
                <w:szCs w:val="21"/>
                <w:lang w:val="en-US" w:eastAsia="zh-CN" w:bidi="ar"/>
              </w:rPr>
              <w:t>重金属污染粘性土壤稳定化处理一体化修复技术</w:t>
            </w:r>
          </w:p>
          <w:p>
            <w:pPr>
              <w:keepNext w:val="0"/>
              <w:keepLines w:val="0"/>
              <w:pageBreakBefore w:val="0"/>
              <w:widowControl/>
              <w:suppressLineNumbers w:val="0"/>
              <w:kinsoku/>
              <w:wordWrap/>
              <w:overflowPunct/>
              <w:topLinePunct w:val="0"/>
              <w:autoSpaceDN/>
              <w:bidi w:val="0"/>
              <w:spacing w:line="400" w:lineRule="exact"/>
              <w:ind w:firstLine="420" w:firstLineChars="200"/>
              <w:jc w:val="left"/>
              <w:textAlignment w:val="auto"/>
              <w:rPr>
                <w:rFonts w:hint="eastAsia" w:ascii="仿宋" w:hAnsi="仿宋" w:eastAsia="仿宋" w:cs="仿宋"/>
                <w:sz w:val="21"/>
                <w:szCs w:val="21"/>
              </w:rPr>
            </w:pPr>
            <w:r>
              <w:rPr>
                <w:rFonts w:hint="eastAsia" w:ascii="仿宋" w:hAnsi="仿宋" w:eastAsia="仿宋" w:cs="仿宋"/>
                <w:color w:val="000000"/>
                <w:kern w:val="0"/>
                <w:sz w:val="21"/>
                <w:szCs w:val="21"/>
                <w:lang w:val="en-US" w:eastAsia="zh-CN" w:bidi="ar"/>
              </w:rPr>
              <w:t>开发了制浆结合稳定化处理重金属污染粘性土的异位修复工艺，重金属污染粘性土壤的破络稳定化修复工艺；研制了磷酸盐系列宜安ERA亲水基团稳定剂；开发了绿色普适性菌群炭基螯合粘土调理剂；针对制浆过程产生的含重金属废水，提出了重金属废水处理与回用技术评价的国家标准，形成了完整的粘性土壤污染场地绿色修复技术体系。</w:t>
            </w:r>
          </w:p>
          <w:p>
            <w:pPr>
              <w:keepNext w:val="0"/>
              <w:keepLines w:val="0"/>
              <w:pageBreakBefore w:val="0"/>
              <w:widowControl/>
              <w:suppressLineNumbers w:val="0"/>
              <w:kinsoku/>
              <w:wordWrap/>
              <w:overflowPunct/>
              <w:topLinePunct w:val="0"/>
              <w:autoSpaceDN/>
              <w:bidi w:val="0"/>
              <w:spacing w:line="400" w:lineRule="exact"/>
              <w:ind w:firstLine="422" w:firstLineChars="200"/>
              <w:jc w:val="left"/>
              <w:textAlignment w:val="auto"/>
              <w:rPr>
                <w:rFonts w:hint="eastAsia" w:ascii="仿宋" w:hAnsi="仿宋" w:eastAsia="仿宋" w:cs="仿宋"/>
                <w:sz w:val="21"/>
                <w:szCs w:val="21"/>
              </w:rPr>
            </w:pPr>
            <w:r>
              <w:rPr>
                <w:rFonts w:hint="eastAsia" w:ascii="仿宋" w:hAnsi="仿宋" w:eastAsia="仿宋" w:cs="仿宋"/>
                <w:b/>
                <w:color w:val="000000"/>
                <w:kern w:val="0"/>
                <w:sz w:val="21"/>
                <w:szCs w:val="21"/>
                <w:lang w:val="en-US" w:eastAsia="zh-CN" w:bidi="ar"/>
              </w:rPr>
              <w:t>（2）有机污染粘土多元协同增效修复关键技术及装置</w:t>
            </w:r>
          </w:p>
          <w:p>
            <w:pPr>
              <w:keepNext w:val="0"/>
              <w:keepLines w:val="0"/>
              <w:pageBreakBefore w:val="0"/>
              <w:widowControl/>
              <w:suppressLineNumbers w:val="0"/>
              <w:kinsoku/>
              <w:wordWrap/>
              <w:overflowPunct/>
              <w:topLinePunct w:val="0"/>
              <w:autoSpaceDN/>
              <w:bidi w:val="0"/>
              <w:spacing w:line="400" w:lineRule="exact"/>
              <w:ind w:firstLine="420" w:firstLineChars="200"/>
              <w:jc w:val="left"/>
              <w:textAlignment w:val="auto"/>
              <w:rPr>
                <w:rFonts w:hint="eastAsia" w:ascii="仿宋" w:hAnsi="仿宋" w:eastAsia="仿宋" w:cs="仿宋"/>
                <w:sz w:val="21"/>
                <w:szCs w:val="21"/>
              </w:rPr>
            </w:pPr>
            <w:r>
              <w:rPr>
                <w:rFonts w:hint="eastAsia" w:ascii="仿宋" w:hAnsi="仿宋" w:eastAsia="仿宋" w:cs="仿宋"/>
                <w:color w:val="000000"/>
                <w:kern w:val="0"/>
                <w:sz w:val="21"/>
                <w:szCs w:val="21"/>
                <w:lang w:val="en-US" w:eastAsia="zh-CN" w:bidi="ar"/>
              </w:rPr>
              <w:t>研发了高级氧化与生物堆联合修复关键技术，并在此基础上提出了应用了电动分区强化生物氧化耦合的深度处理工艺。筛选出4种针对石油烃及PAHs适应性强的高效降解菌株，制成了石油烃和PAHs复合污染的高效复合降解菌剂产品；设计了多种可适应不同修复技术的一体化修复装备。</w:t>
            </w:r>
          </w:p>
          <w:p>
            <w:pPr>
              <w:keepNext w:val="0"/>
              <w:keepLines w:val="0"/>
              <w:pageBreakBefore w:val="0"/>
              <w:widowControl/>
              <w:suppressLineNumbers w:val="0"/>
              <w:kinsoku/>
              <w:wordWrap/>
              <w:overflowPunct/>
              <w:topLinePunct w:val="0"/>
              <w:autoSpaceDN/>
              <w:bidi w:val="0"/>
              <w:spacing w:line="400" w:lineRule="exact"/>
              <w:ind w:firstLine="422" w:firstLineChars="200"/>
              <w:jc w:val="left"/>
              <w:textAlignment w:val="auto"/>
              <w:rPr>
                <w:rFonts w:hint="eastAsia" w:ascii="仿宋" w:hAnsi="仿宋" w:eastAsia="仿宋" w:cs="仿宋"/>
                <w:sz w:val="21"/>
                <w:szCs w:val="21"/>
              </w:rPr>
            </w:pPr>
            <w:r>
              <w:rPr>
                <w:rFonts w:hint="eastAsia" w:ascii="仿宋" w:hAnsi="仿宋" w:eastAsia="仿宋" w:cs="仿宋"/>
                <w:b/>
                <w:color w:val="000000"/>
                <w:kern w:val="0"/>
                <w:sz w:val="21"/>
                <w:szCs w:val="21"/>
                <w:lang w:val="en-US" w:eastAsia="zh-CN" w:bidi="ar"/>
              </w:rPr>
              <w:t>（3）创建了土壤修复运营组织服务评价标准</w:t>
            </w:r>
          </w:p>
          <w:p>
            <w:pPr>
              <w:keepNext w:val="0"/>
              <w:keepLines w:val="0"/>
              <w:pageBreakBefore w:val="0"/>
              <w:widowControl/>
              <w:suppressLineNumbers w:val="0"/>
              <w:kinsoku/>
              <w:wordWrap/>
              <w:overflowPunct/>
              <w:topLinePunct w:val="0"/>
              <w:autoSpaceDN/>
              <w:bidi w:val="0"/>
              <w:spacing w:line="400" w:lineRule="exact"/>
              <w:ind w:firstLine="420" w:firstLineChars="200"/>
              <w:jc w:val="left"/>
              <w:textAlignment w:val="auto"/>
              <w:rPr>
                <w:rFonts w:hint="eastAsia" w:ascii="仿宋" w:hAnsi="仿宋" w:eastAsia="仿宋" w:cs="仿宋"/>
                <w:sz w:val="21"/>
                <w:szCs w:val="21"/>
              </w:rPr>
            </w:pPr>
            <w:r>
              <w:rPr>
                <w:rFonts w:hint="eastAsia" w:ascii="仿宋" w:hAnsi="仿宋" w:eastAsia="仿宋" w:cs="仿宋"/>
                <w:color w:val="000000"/>
                <w:kern w:val="0"/>
                <w:sz w:val="21"/>
                <w:szCs w:val="21"/>
                <w:lang w:val="en-US" w:eastAsia="zh-CN" w:bidi="ar"/>
              </w:rPr>
              <w:t>通过不断的工程应用实践，创建了环境保护设施运营组织服务评价方法，规范粘土修复过程中环保设施运营管理要求，并参与了国家标准《环境保护设施运营组织服务评价技术要求》（GB/T 38221-2019）中土壤修复领域环境保护设施运营组织服务评价技术要求的编制。</w:t>
            </w:r>
          </w:p>
          <w:p>
            <w:pPr>
              <w:keepNext w:val="0"/>
              <w:keepLines w:val="0"/>
              <w:pageBreakBefore w:val="0"/>
              <w:widowControl/>
              <w:suppressLineNumbers w:val="0"/>
              <w:kinsoku/>
              <w:wordWrap/>
              <w:overflowPunct/>
              <w:topLinePunct w:val="0"/>
              <w:autoSpaceDN/>
              <w:bidi w:val="0"/>
              <w:spacing w:line="400" w:lineRule="exact"/>
              <w:ind w:firstLine="420" w:firstLineChars="200"/>
              <w:jc w:val="left"/>
              <w:textAlignment w:val="auto"/>
              <w:rPr>
                <w:rFonts w:hint="eastAsia" w:ascii="仿宋" w:hAnsi="仿宋" w:eastAsia="仿宋" w:cs="仿宋"/>
                <w:b/>
                <w:bCs/>
                <w:sz w:val="21"/>
                <w:szCs w:val="21"/>
                <w:vertAlign w:val="baseline"/>
                <w:lang w:val="en-US" w:eastAsia="zh-CN"/>
              </w:rPr>
            </w:pPr>
            <w:r>
              <w:rPr>
                <w:rFonts w:hint="eastAsia" w:ascii="仿宋" w:hAnsi="仿宋" w:eastAsia="仿宋" w:cs="仿宋"/>
                <w:color w:val="000000"/>
                <w:kern w:val="0"/>
                <w:sz w:val="21"/>
                <w:szCs w:val="21"/>
                <w:lang w:val="en-US" w:eastAsia="zh-CN" w:bidi="ar"/>
              </w:rPr>
              <w:t>本项目基于湖南省有机污染场地修复工程技术研究中心和持久性有机污染微生物生态修复湖南省工程实验室2个研发平台，</w:t>
            </w:r>
            <w:r>
              <w:rPr>
                <w:rFonts w:hint="eastAsia" w:ascii="仿宋" w:hAnsi="仿宋" w:eastAsia="仿宋" w:cs="仿宋"/>
                <w:b/>
                <w:color w:val="000000"/>
                <w:kern w:val="0"/>
                <w:sz w:val="21"/>
                <w:szCs w:val="21"/>
                <w:lang w:val="en-US" w:eastAsia="zh-CN" w:bidi="ar"/>
              </w:rPr>
              <w:t>获得授权发明专利14项、实用新型专利8项；针对技术方法和设备运营管理体系评价参与制定国家标准2项</w:t>
            </w:r>
            <w:r>
              <w:rPr>
                <w:rFonts w:hint="eastAsia" w:ascii="仿宋" w:hAnsi="仿宋" w:eastAsia="仿宋" w:cs="仿宋"/>
                <w:color w:val="000000"/>
                <w:kern w:val="0"/>
                <w:sz w:val="21"/>
                <w:szCs w:val="21"/>
                <w:lang w:val="en-US" w:eastAsia="zh-CN" w:bidi="ar"/>
              </w:rPr>
              <w:t>。研究成果已经在我国湖南、江西、广西、浙江、贵州、重庆等多个省区粘性土壤污染场地修复重点工程中得到了成功应用，共计修复粘性土壤超过300万m</w:t>
            </w:r>
            <w:r>
              <w:rPr>
                <w:rFonts w:hint="eastAsia" w:ascii="仿宋" w:hAnsi="仿宋" w:eastAsia="仿宋" w:cs="仿宋"/>
                <w:color w:val="000000"/>
                <w:kern w:val="0"/>
                <w:sz w:val="21"/>
                <w:szCs w:val="21"/>
                <w:vertAlign w:val="superscript"/>
                <w:lang w:val="en-US" w:eastAsia="zh-CN" w:bidi="ar"/>
              </w:rPr>
              <w:t>3</w:t>
            </w:r>
            <w:r>
              <w:rPr>
                <w:rFonts w:hint="eastAsia" w:ascii="仿宋" w:hAnsi="仿宋" w:eastAsia="仿宋" w:cs="仿宋"/>
                <w:color w:val="000000"/>
                <w:kern w:val="0"/>
                <w:sz w:val="21"/>
                <w:szCs w:val="21"/>
                <w:lang w:val="en-US" w:eastAsia="zh-CN" w:bidi="ar"/>
              </w:rPr>
              <w:t>。近三年产生直接经济效益5.5亿元，并产生重要的生态效益和社会效益。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25" w:hRule="atLeast"/>
        </w:trPr>
        <w:tc>
          <w:tcPr>
            <w:tcW w:w="2238" w:type="dxa"/>
            <w:vAlign w:val="center"/>
          </w:tcPr>
          <w:p>
            <w:pPr>
              <w:keepNext w:val="0"/>
              <w:keepLines w:val="0"/>
              <w:pageBreakBefore w:val="0"/>
              <w:kinsoku/>
              <w:wordWrap/>
              <w:overflowPunct/>
              <w:topLinePunct w:val="0"/>
              <w:autoSpaceDN/>
              <w:bidi w:val="0"/>
              <w:spacing w:line="400" w:lineRule="exact"/>
              <w:jc w:val="center"/>
              <w:textAlignment w:val="auto"/>
              <w:rPr>
                <w:rFonts w:hint="eastAsia" w:ascii="仿宋" w:hAnsi="仿宋" w:eastAsia="仿宋" w:cs="仿宋"/>
                <w:b/>
                <w:bCs/>
                <w:sz w:val="32"/>
                <w:szCs w:val="32"/>
                <w:vertAlign w:val="baseline"/>
                <w:lang w:val="en-US" w:eastAsia="zh-CN"/>
              </w:rPr>
            </w:pPr>
            <w:r>
              <w:rPr>
                <w:rFonts w:hint="eastAsia" w:ascii="仿宋" w:hAnsi="仿宋" w:eastAsia="仿宋" w:cs="仿宋"/>
                <w:b/>
                <w:bCs/>
                <w:sz w:val="28"/>
                <w:szCs w:val="28"/>
                <w:vertAlign w:val="baseline"/>
                <w:lang w:val="en-US" w:eastAsia="zh-CN"/>
              </w:rPr>
              <w:t>推广应用情况及效益</w:t>
            </w:r>
          </w:p>
        </w:tc>
        <w:tc>
          <w:tcPr>
            <w:tcW w:w="6368" w:type="dxa"/>
            <w:vAlign w:val="center"/>
          </w:tcPr>
          <w:p>
            <w:pPr>
              <w:pStyle w:val="3"/>
              <w:keepNext w:val="0"/>
              <w:keepLines w:val="0"/>
              <w:pageBreakBefore w:val="0"/>
              <w:kinsoku/>
              <w:wordWrap/>
              <w:overflowPunct/>
              <w:topLinePunct w:val="0"/>
              <w:autoSpaceDN/>
              <w:bidi w:val="0"/>
              <w:spacing w:line="400" w:lineRule="exact"/>
              <w:ind w:firstLine="0" w:firstLineChars="0"/>
              <w:jc w:val="left"/>
              <w:textAlignment w:val="auto"/>
              <w:outlineLvl w:val="2"/>
              <w:rPr>
                <w:rFonts w:hint="eastAsia" w:ascii="仿宋" w:hAnsi="仿宋" w:eastAsia="仿宋" w:cs="仿宋"/>
                <w:b/>
                <w:sz w:val="21"/>
                <w:szCs w:val="21"/>
              </w:rPr>
            </w:pPr>
            <w:r>
              <w:rPr>
                <w:rFonts w:hint="eastAsia" w:ascii="仿宋" w:hAnsi="仿宋" w:eastAsia="仿宋" w:cs="仿宋"/>
                <w:b/>
                <w:sz w:val="21"/>
                <w:szCs w:val="21"/>
              </w:rPr>
              <w:t>1．推广应用情况</w:t>
            </w:r>
          </w:p>
          <w:p>
            <w:pPr>
              <w:keepNext w:val="0"/>
              <w:keepLines w:val="0"/>
              <w:pageBreakBefore w:val="0"/>
              <w:kinsoku/>
              <w:wordWrap/>
              <w:overflowPunct/>
              <w:topLinePunct w:val="0"/>
              <w:autoSpaceDN/>
              <w:bidi w:val="0"/>
              <w:spacing w:line="400" w:lineRule="exact"/>
              <w:ind w:firstLine="420" w:firstLineChars="200"/>
              <w:jc w:val="left"/>
              <w:textAlignment w:val="auto"/>
              <w:rPr>
                <w:rFonts w:hint="eastAsia" w:ascii="仿宋" w:hAnsi="仿宋" w:eastAsia="仿宋" w:cs="仿宋"/>
                <w:sz w:val="21"/>
                <w:szCs w:val="21"/>
              </w:rPr>
            </w:pPr>
            <w:r>
              <w:rPr>
                <w:rFonts w:hint="eastAsia" w:ascii="仿宋" w:hAnsi="仿宋" w:eastAsia="仿宋" w:cs="仿宋"/>
                <w:sz w:val="21"/>
                <w:szCs w:val="21"/>
              </w:rPr>
              <w:t>本项目团队长期致力于我国重金属/有机污染</w:t>
            </w:r>
            <w:r>
              <w:rPr>
                <w:rFonts w:hint="eastAsia" w:ascii="仿宋" w:hAnsi="仿宋" w:eastAsia="仿宋" w:cs="仿宋"/>
                <w:sz w:val="21"/>
                <w:szCs w:val="21"/>
                <w:lang w:eastAsia="zh-CN"/>
              </w:rPr>
              <w:t>粘</w:t>
            </w:r>
            <w:r>
              <w:rPr>
                <w:rFonts w:hint="eastAsia" w:ascii="仿宋" w:hAnsi="仿宋" w:eastAsia="仿宋" w:cs="仿宋"/>
                <w:sz w:val="21"/>
                <w:szCs w:val="21"/>
              </w:rPr>
              <w:t>土修复关键技术、工艺、装备、药剂和材料的研究，解决了粘土修复过程中遇到的技术瓶颈，优化并创新研发了适用于</w:t>
            </w:r>
            <w:r>
              <w:rPr>
                <w:rFonts w:hint="eastAsia" w:ascii="仿宋" w:hAnsi="仿宋" w:eastAsia="仿宋" w:cs="仿宋"/>
                <w:sz w:val="21"/>
                <w:szCs w:val="21"/>
                <w:lang w:eastAsia="zh-CN"/>
              </w:rPr>
              <w:t>粘</w:t>
            </w:r>
            <w:r>
              <w:rPr>
                <w:rFonts w:hint="eastAsia" w:ascii="仿宋" w:hAnsi="仿宋" w:eastAsia="仿宋" w:cs="仿宋"/>
                <w:sz w:val="21"/>
                <w:szCs w:val="21"/>
              </w:rPr>
              <w:t>土的专用修复工艺、设备、药剂和材料。</w:t>
            </w:r>
            <w:r>
              <w:rPr>
                <w:rFonts w:hint="eastAsia" w:ascii="仿宋" w:hAnsi="仿宋" w:eastAsia="仿宋" w:cs="仿宋"/>
                <w:b/>
                <w:bCs/>
                <w:sz w:val="21"/>
                <w:szCs w:val="21"/>
              </w:rPr>
              <w:t>创建了针对重金属污染粘土的</w:t>
            </w:r>
            <w:r>
              <w:rPr>
                <w:rFonts w:hint="eastAsia" w:ascii="仿宋" w:hAnsi="仿宋" w:eastAsia="仿宋" w:cs="仿宋"/>
                <w:b/>
                <w:bCs/>
                <w:sz w:val="21"/>
                <w:szCs w:val="21"/>
                <w:lang w:val="en-US" w:eastAsia="zh-CN"/>
              </w:rPr>
              <w:t>绿色一体化</w:t>
            </w:r>
            <w:r>
              <w:rPr>
                <w:rFonts w:hint="eastAsia" w:ascii="仿宋" w:hAnsi="仿宋" w:eastAsia="仿宋" w:cs="仿宋"/>
                <w:b/>
                <w:bCs/>
                <w:sz w:val="21"/>
                <w:szCs w:val="21"/>
              </w:rPr>
              <w:t>技术，针对有机污染粘性土壤的多元协同增效修复关键技术及</w:t>
            </w:r>
            <w:r>
              <w:rPr>
                <w:rFonts w:hint="eastAsia" w:ascii="仿宋" w:hAnsi="仿宋" w:eastAsia="仿宋" w:cs="仿宋"/>
                <w:b/>
                <w:bCs/>
                <w:sz w:val="21"/>
                <w:szCs w:val="21"/>
                <w:lang w:val="en-US" w:eastAsia="zh-CN"/>
              </w:rPr>
              <w:t>一体化</w:t>
            </w:r>
            <w:r>
              <w:rPr>
                <w:rFonts w:hint="eastAsia" w:ascii="仿宋" w:hAnsi="仿宋" w:eastAsia="仿宋" w:cs="仿宋"/>
                <w:b/>
                <w:bCs/>
                <w:sz w:val="21"/>
                <w:szCs w:val="21"/>
              </w:rPr>
              <w:t>装置。</w:t>
            </w:r>
          </w:p>
          <w:p>
            <w:pPr>
              <w:keepNext w:val="0"/>
              <w:keepLines w:val="0"/>
              <w:pageBreakBefore w:val="0"/>
              <w:kinsoku/>
              <w:wordWrap/>
              <w:overflowPunct/>
              <w:topLinePunct w:val="0"/>
              <w:autoSpaceDN/>
              <w:bidi w:val="0"/>
              <w:spacing w:line="400" w:lineRule="exact"/>
              <w:ind w:firstLine="420" w:firstLineChars="200"/>
              <w:jc w:val="left"/>
              <w:textAlignment w:val="auto"/>
              <w:rPr>
                <w:rFonts w:hint="eastAsia" w:ascii="仿宋" w:hAnsi="仿宋" w:eastAsia="仿宋" w:cs="仿宋"/>
                <w:b/>
                <w:bCs/>
                <w:sz w:val="21"/>
                <w:szCs w:val="21"/>
              </w:rPr>
            </w:pPr>
            <w:r>
              <w:rPr>
                <w:rFonts w:hint="eastAsia" w:ascii="仿宋" w:hAnsi="仿宋" w:eastAsia="仿宋" w:cs="仿宋"/>
                <w:sz w:val="21"/>
                <w:szCs w:val="21"/>
              </w:rPr>
              <w:t>本项目技术系统解决了我国</w:t>
            </w:r>
            <w:r>
              <w:rPr>
                <w:rFonts w:hint="eastAsia" w:ascii="仿宋" w:hAnsi="仿宋" w:eastAsia="仿宋" w:cs="仿宋"/>
                <w:sz w:val="21"/>
                <w:szCs w:val="21"/>
                <w:lang w:eastAsia="zh-CN"/>
              </w:rPr>
              <w:t>粘</w:t>
            </w:r>
            <w:r>
              <w:rPr>
                <w:rFonts w:hint="eastAsia" w:ascii="仿宋" w:hAnsi="仿宋" w:eastAsia="仿宋" w:cs="仿宋"/>
                <w:sz w:val="21"/>
                <w:szCs w:val="21"/>
              </w:rPr>
              <w:t>土修复难题，通过多年的技术革新和工程应用实践，建立环境保护设施运营组织服务评价方法，规范粘土修复过程中环保设施运营管理要求，并</w:t>
            </w:r>
            <w:r>
              <w:rPr>
                <w:rFonts w:hint="eastAsia" w:ascii="仿宋" w:hAnsi="仿宋" w:eastAsia="仿宋" w:cs="仿宋"/>
                <w:b/>
                <w:bCs/>
                <w:sz w:val="21"/>
                <w:szCs w:val="21"/>
              </w:rPr>
              <w:t>参与起草了国家标准《环境保护设施运营组织服务评价技术要求》（GB/T 38221-2019）中土壤修复领域环境保护设施运营组织服务评价技术要求。</w:t>
            </w:r>
          </w:p>
          <w:p>
            <w:pPr>
              <w:pStyle w:val="3"/>
              <w:keepNext w:val="0"/>
              <w:keepLines w:val="0"/>
              <w:pageBreakBefore w:val="0"/>
              <w:kinsoku/>
              <w:wordWrap/>
              <w:overflowPunct/>
              <w:topLinePunct w:val="0"/>
              <w:autoSpaceDN/>
              <w:bidi w:val="0"/>
              <w:spacing w:line="400" w:lineRule="exact"/>
              <w:ind w:firstLine="420" w:firstLineChars="200"/>
              <w:jc w:val="left"/>
              <w:textAlignment w:val="auto"/>
              <w:outlineLvl w:val="2"/>
              <w:rPr>
                <w:rFonts w:hint="eastAsia" w:ascii="仿宋" w:hAnsi="仿宋" w:eastAsia="仿宋" w:cs="仿宋"/>
                <w:b/>
                <w:sz w:val="21"/>
                <w:szCs w:val="21"/>
              </w:rPr>
            </w:pPr>
            <w:r>
              <w:rPr>
                <w:rFonts w:hint="eastAsia" w:ascii="仿宋" w:hAnsi="仿宋" w:eastAsia="仿宋" w:cs="仿宋"/>
                <w:sz w:val="21"/>
                <w:szCs w:val="21"/>
              </w:rPr>
              <w:t>项目成果自2014年以来开始大规模推广应用，先后</w:t>
            </w:r>
            <w:r>
              <w:rPr>
                <w:rFonts w:hint="eastAsia" w:ascii="仿宋" w:hAnsi="仿宋" w:eastAsia="仿宋" w:cs="仿宋"/>
                <w:b/>
                <w:bCs/>
                <w:sz w:val="21"/>
                <w:szCs w:val="21"/>
              </w:rPr>
              <w:t>在常宁市水松地区重金属污染综合整治工作领导小组、</w:t>
            </w:r>
            <w:r>
              <w:rPr>
                <w:rFonts w:hint="eastAsia" w:ascii="仿宋" w:hAnsi="仿宋" w:eastAsia="仿宋" w:cs="仿宋"/>
                <w:b/>
                <w:bCs/>
                <w:sz w:val="21"/>
                <w:szCs w:val="21"/>
                <w:lang w:eastAsia="zh-CN"/>
              </w:rPr>
              <w:t>湖南新九方科技有限公司</w:t>
            </w:r>
            <w:r>
              <w:rPr>
                <w:rFonts w:hint="eastAsia" w:ascii="仿宋" w:hAnsi="仿宋" w:eastAsia="仿宋" w:cs="仿宋"/>
                <w:b/>
                <w:bCs/>
                <w:sz w:val="21"/>
                <w:szCs w:val="21"/>
              </w:rPr>
              <w:t>、</w:t>
            </w:r>
            <w:r>
              <w:rPr>
                <w:rFonts w:hint="eastAsia" w:ascii="仿宋" w:hAnsi="仿宋" w:eastAsia="仿宋" w:cs="仿宋"/>
                <w:b/>
                <w:bCs/>
                <w:sz w:val="21"/>
                <w:szCs w:val="21"/>
                <w:lang w:eastAsia="zh-CN"/>
              </w:rPr>
              <w:t>浏阳市永和镇人民政府</w:t>
            </w:r>
            <w:r>
              <w:rPr>
                <w:rFonts w:hint="eastAsia" w:ascii="仿宋" w:hAnsi="仿宋" w:eastAsia="仿宋" w:cs="仿宋"/>
                <w:b/>
                <w:bCs/>
                <w:sz w:val="21"/>
                <w:szCs w:val="21"/>
              </w:rPr>
              <w:t>、长沙市大成北棚户区改造投资有限公司、湖南正圆动力配件有限公司单位的污染土壤修复项目中得到了广泛应用，带动了土壤修复行业技术的创新发展，实现了我国</w:t>
            </w:r>
            <w:r>
              <w:rPr>
                <w:rFonts w:hint="eastAsia" w:ascii="仿宋" w:hAnsi="仿宋" w:eastAsia="仿宋" w:cs="仿宋"/>
                <w:b/>
                <w:bCs/>
                <w:sz w:val="21"/>
                <w:szCs w:val="21"/>
                <w:lang w:eastAsia="zh-CN"/>
              </w:rPr>
              <w:t>粘</w:t>
            </w:r>
            <w:r>
              <w:rPr>
                <w:rFonts w:hint="eastAsia" w:ascii="仿宋" w:hAnsi="仿宋" w:eastAsia="仿宋" w:cs="仿宋"/>
                <w:b/>
                <w:bCs/>
                <w:sz w:val="21"/>
                <w:szCs w:val="21"/>
              </w:rPr>
              <w:t>土的高效修复，近三年新增产值超过5.</w:t>
            </w:r>
            <w:r>
              <w:rPr>
                <w:rFonts w:hint="eastAsia" w:ascii="仿宋" w:hAnsi="仿宋" w:eastAsia="仿宋" w:cs="仿宋"/>
                <w:b/>
                <w:bCs/>
                <w:sz w:val="21"/>
                <w:szCs w:val="21"/>
                <w:lang w:val="en-US" w:eastAsia="zh-CN"/>
              </w:rPr>
              <w:t>5</w:t>
            </w:r>
            <w:r>
              <w:rPr>
                <w:rFonts w:hint="eastAsia" w:ascii="仿宋" w:hAnsi="仿宋" w:eastAsia="仿宋" w:cs="仿宋"/>
                <w:b/>
                <w:bCs/>
                <w:sz w:val="21"/>
                <w:szCs w:val="21"/>
              </w:rPr>
              <w:t>亿元，新增利润</w:t>
            </w:r>
            <w:r>
              <w:rPr>
                <w:rFonts w:hint="eastAsia" w:ascii="仿宋" w:hAnsi="仿宋" w:eastAsia="仿宋" w:cs="仿宋"/>
                <w:b/>
                <w:bCs/>
                <w:sz w:val="21"/>
                <w:szCs w:val="21"/>
                <w:lang w:val="en-US" w:eastAsia="zh-CN"/>
              </w:rPr>
              <w:t>8900</w:t>
            </w:r>
            <w:r>
              <w:rPr>
                <w:rFonts w:hint="eastAsia" w:ascii="仿宋" w:hAnsi="仿宋" w:eastAsia="仿宋" w:cs="仿宋"/>
                <w:b/>
                <w:bCs/>
                <w:sz w:val="21"/>
                <w:szCs w:val="21"/>
              </w:rPr>
              <w:t>万元，并产生重要的生态效益和社会效益。</w:t>
            </w:r>
          </w:p>
          <w:p>
            <w:pPr>
              <w:pStyle w:val="3"/>
              <w:keepNext w:val="0"/>
              <w:keepLines w:val="0"/>
              <w:pageBreakBefore w:val="0"/>
              <w:kinsoku/>
              <w:wordWrap/>
              <w:overflowPunct/>
              <w:topLinePunct w:val="0"/>
              <w:autoSpaceDN/>
              <w:bidi w:val="0"/>
              <w:spacing w:line="400" w:lineRule="exact"/>
              <w:ind w:firstLine="0" w:firstLineChars="0"/>
              <w:textAlignment w:val="auto"/>
              <w:outlineLvl w:val="2"/>
              <w:rPr>
                <w:rFonts w:hint="eastAsia" w:ascii="仿宋" w:hAnsi="仿宋" w:eastAsia="仿宋" w:cs="仿宋"/>
                <w:b/>
                <w:sz w:val="21"/>
                <w:szCs w:val="21"/>
              </w:rPr>
            </w:pPr>
            <w:r>
              <w:rPr>
                <w:rFonts w:hint="eastAsia" w:ascii="仿宋" w:hAnsi="仿宋" w:eastAsia="仿宋" w:cs="仿宋"/>
                <w:b/>
                <w:sz w:val="21"/>
                <w:szCs w:val="21"/>
                <w:lang w:val="en-US" w:eastAsia="zh-CN"/>
              </w:rPr>
              <w:t>2</w:t>
            </w:r>
            <w:r>
              <w:rPr>
                <w:rFonts w:hint="eastAsia" w:ascii="仿宋" w:hAnsi="仿宋" w:eastAsia="仿宋" w:cs="仿宋"/>
                <w:b/>
                <w:sz w:val="21"/>
                <w:szCs w:val="21"/>
              </w:rPr>
              <w:t>．社会效益</w:t>
            </w:r>
          </w:p>
          <w:p>
            <w:pPr>
              <w:keepNext w:val="0"/>
              <w:keepLines w:val="0"/>
              <w:pageBreakBefore w:val="0"/>
              <w:widowControl/>
              <w:kinsoku/>
              <w:wordWrap/>
              <w:overflowPunct/>
              <w:topLinePunct w:val="0"/>
              <w:autoSpaceDE w:val="0"/>
              <w:autoSpaceDN/>
              <w:bidi w:val="0"/>
              <w:adjustRightInd w:val="0"/>
              <w:snapToGrid w:val="0"/>
              <w:spacing w:line="400" w:lineRule="exact"/>
              <w:ind w:firstLine="420" w:firstLineChars="200"/>
              <w:textAlignment w:val="auto"/>
              <w:rPr>
                <w:rFonts w:hint="eastAsia" w:ascii="仿宋" w:hAnsi="仿宋" w:eastAsia="仿宋" w:cs="仿宋"/>
                <w:color w:val="0D0D0D"/>
                <w:sz w:val="21"/>
                <w:szCs w:val="21"/>
                <w:lang w:bidi="ar"/>
              </w:rPr>
            </w:pPr>
            <w:r>
              <w:rPr>
                <w:rFonts w:hint="eastAsia" w:ascii="仿宋" w:hAnsi="仿宋" w:eastAsia="仿宋" w:cs="仿宋"/>
                <w:color w:val="0D0D0D"/>
                <w:sz w:val="21"/>
                <w:szCs w:val="21"/>
                <w:lang w:bidi="ar"/>
              </w:rPr>
              <w:t>（1）本项目整体技术达到国内领先水平，成功应用有力地推进我国污染土壤修复行业的发展，有效提高我国环保行业的生产能力和科技含量，推动了区域乃至全国土壤修复行业发展进程；</w:t>
            </w:r>
          </w:p>
          <w:p>
            <w:pPr>
              <w:keepNext w:val="0"/>
              <w:keepLines w:val="0"/>
              <w:pageBreakBefore w:val="0"/>
              <w:widowControl/>
              <w:kinsoku/>
              <w:wordWrap/>
              <w:overflowPunct/>
              <w:topLinePunct w:val="0"/>
              <w:autoSpaceDE w:val="0"/>
              <w:autoSpaceDN/>
              <w:bidi w:val="0"/>
              <w:adjustRightInd w:val="0"/>
              <w:snapToGrid w:val="0"/>
              <w:spacing w:line="400" w:lineRule="exact"/>
              <w:ind w:firstLine="420" w:firstLineChars="200"/>
              <w:textAlignment w:val="auto"/>
              <w:rPr>
                <w:rFonts w:hint="eastAsia" w:ascii="仿宋" w:hAnsi="仿宋" w:eastAsia="仿宋" w:cs="仿宋"/>
                <w:color w:val="0D0D0D"/>
                <w:sz w:val="21"/>
                <w:szCs w:val="21"/>
                <w:lang w:bidi="ar"/>
              </w:rPr>
            </w:pPr>
            <w:r>
              <w:rPr>
                <w:rFonts w:hint="eastAsia" w:ascii="仿宋" w:hAnsi="仿宋" w:eastAsia="仿宋" w:cs="仿宋"/>
                <w:color w:val="0D0D0D"/>
                <w:sz w:val="21"/>
                <w:szCs w:val="21"/>
                <w:lang w:bidi="ar"/>
              </w:rPr>
              <w:t>（2）本</w:t>
            </w:r>
            <w:r>
              <w:rPr>
                <w:rFonts w:hint="eastAsia" w:ascii="仿宋" w:hAnsi="仿宋" w:eastAsia="仿宋" w:cs="仿宋"/>
                <w:color w:val="000000"/>
                <w:sz w:val="21"/>
                <w:szCs w:val="21"/>
              </w:rPr>
              <w:t>共计修复粘性土壤超过300万</w:t>
            </w:r>
            <w:r>
              <w:rPr>
                <w:rFonts w:hint="eastAsia" w:ascii="仿宋" w:hAnsi="仿宋" w:eastAsia="仿宋" w:cs="仿宋"/>
                <w:color w:val="000000"/>
                <w:sz w:val="21"/>
                <w:szCs w:val="21"/>
                <w:lang w:val="en-US" w:eastAsia="zh-CN"/>
              </w:rPr>
              <w:t>m</w:t>
            </w:r>
            <w:r>
              <w:rPr>
                <w:rFonts w:hint="eastAsia" w:ascii="仿宋" w:hAnsi="仿宋" w:eastAsia="仿宋" w:cs="仿宋"/>
                <w:color w:val="000000"/>
                <w:sz w:val="21"/>
                <w:szCs w:val="21"/>
                <w:vertAlign w:val="superscript"/>
                <w:lang w:val="en-US" w:eastAsia="zh-CN"/>
              </w:rPr>
              <w:t>3</w:t>
            </w:r>
            <w:r>
              <w:rPr>
                <w:rFonts w:hint="eastAsia" w:ascii="仿宋" w:hAnsi="仿宋" w:eastAsia="仿宋" w:cs="仿宋"/>
                <w:color w:val="000000"/>
                <w:sz w:val="21"/>
                <w:szCs w:val="21"/>
              </w:rPr>
              <w:t>，其中重金属污染土壤2</w:t>
            </w:r>
            <w:r>
              <w:rPr>
                <w:rFonts w:hint="eastAsia" w:ascii="仿宋" w:hAnsi="仿宋" w:eastAsia="仿宋" w:cs="仿宋"/>
                <w:color w:val="000000"/>
                <w:sz w:val="21"/>
                <w:szCs w:val="21"/>
                <w:lang w:val="en-US" w:eastAsia="zh-CN"/>
              </w:rPr>
              <w:t>6</w:t>
            </w:r>
            <w:r>
              <w:rPr>
                <w:rFonts w:hint="eastAsia" w:ascii="仿宋" w:hAnsi="仿宋" w:eastAsia="仿宋" w:cs="仿宋"/>
                <w:color w:val="000000"/>
                <w:sz w:val="21"/>
                <w:szCs w:val="21"/>
              </w:rPr>
              <w:t>0万</w:t>
            </w:r>
            <w:r>
              <w:rPr>
                <w:rFonts w:hint="eastAsia" w:ascii="仿宋" w:hAnsi="仿宋" w:eastAsia="仿宋" w:cs="仿宋"/>
                <w:color w:val="000000"/>
                <w:sz w:val="21"/>
                <w:szCs w:val="21"/>
                <w:lang w:val="en-US" w:eastAsia="zh-CN"/>
              </w:rPr>
              <w:t>m</w:t>
            </w:r>
            <w:r>
              <w:rPr>
                <w:rFonts w:hint="eastAsia" w:ascii="仿宋" w:hAnsi="仿宋" w:eastAsia="仿宋" w:cs="仿宋"/>
                <w:color w:val="000000"/>
                <w:sz w:val="21"/>
                <w:szCs w:val="21"/>
                <w:vertAlign w:val="superscript"/>
                <w:lang w:val="en-US" w:eastAsia="zh-CN"/>
              </w:rPr>
              <w:t>3</w:t>
            </w:r>
            <w:r>
              <w:rPr>
                <w:rFonts w:hint="eastAsia" w:ascii="仿宋" w:hAnsi="仿宋" w:eastAsia="仿宋" w:cs="仿宋"/>
                <w:color w:val="000000"/>
                <w:sz w:val="21"/>
                <w:szCs w:val="21"/>
              </w:rPr>
              <w:t>，有机污染土壤</w:t>
            </w:r>
            <w:r>
              <w:rPr>
                <w:rFonts w:hint="eastAsia" w:ascii="仿宋" w:hAnsi="仿宋" w:eastAsia="仿宋" w:cs="仿宋"/>
                <w:color w:val="000000"/>
                <w:sz w:val="21"/>
                <w:szCs w:val="21"/>
                <w:lang w:val="en-US" w:eastAsia="zh-CN"/>
              </w:rPr>
              <w:t>6</w:t>
            </w:r>
            <w:r>
              <w:rPr>
                <w:rFonts w:hint="eastAsia" w:ascii="仿宋" w:hAnsi="仿宋" w:eastAsia="仿宋" w:cs="仿宋"/>
                <w:color w:val="000000"/>
                <w:sz w:val="21"/>
                <w:szCs w:val="21"/>
              </w:rPr>
              <w:t>0万</w:t>
            </w:r>
            <w:r>
              <w:rPr>
                <w:rFonts w:hint="eastAsia" w:ascii="仿宋" w:hAnsi="仿宋" w:eastAsia="仿宋" w:cs="仿宋"/>
                <w:color w:val="000000"/>
                <w:sz w:val="21"/>
                <w:szCs w:val="21"/>
                <w:lang w:val="en-US" w:eastAsia="zh-CN"/>
              </w:rPr>
              <w:t>m</w:t>
            </w:r>
            <w:r>
              <w:rPr>
                <w:rFonts w:hint="eastAsia" w:ascii="仿宋" w:hAnsi="仿宋" w:eastAsia="仿宋" w:cs="仿宋"/>
                <w:color w:val="000000"/>
                <w:sz w:val="21"/>
                <w:szCs w:val="21"/>
                <w:vertAlign w:val="superscript"/>
                <w:lang w:val="en-US" w:eastAsia="zh-CN"/>
              </w:rPr>
              <w:t>3</w:t>
            </w:r>
            <w:r>
              <w:rPr>
                <w:rFonts w:hint="eastAsia" w:ascii="仿宋" w:hAnsi="仿宋" w:eastAsia="仿宋" w:cs="仿宋"/>
                <w:color w:val="000000"/>
                <w:sz w:val="21"/>
                <w:szCs w:val="21"/>
              </w:rPr>
              <w:t>，复合污染</w:t>
            </w:r>
            <w:r>
              <w:rPr>
                <w:rFonts w:hint="eastAsia" w:ascii="仿宋" w:hAnsi="仿宋" w:eastAsia="仿宋" w:cs="仿宋"/>
                <w:color w:val="000000"/>
                <w:sz w:val="21"/>
                <w:szCs w:val="21"/>
                <w:lang w:val="en-US" w:eastAsia="zh-CN"/>
              </w:rPr>
              <w:t>土壤20万m</w:t>
            </w:r>
            <w:r>
              <w:rPr>
                <w:rFonts w:hint="eastAsia" w:ascii="仿宋" w:hAnsi="仿宋" w:eastAsia="仿宋" w:cs="仿宋"/>
                <w:color w:val="000000"/>
                <w:sz w:val="21"/>
                <w:szCs w:val="21"/>
                <w:vertAlign w:val="superscript"/>
                <w:lang w:val="en-US" w:eastAsia="zh-CN"/>
              </w:rPr>
              <w:t>3</w:t>
            </w:r>
            <w:r>
              <w:rPr>
                <w:rFonts w:hint="eastAsia" w:ascii="仿宋" w:hAnsi="仿宋" w:eastAsia="仿宋" w:cs="仿宋"/>
                <w:color w:val="000000"/>
                <w:sz w:val="21"/>
                <w:szCs w:val="21"/>
                <w:lang w:val="en-US" w:eastAsia="zh-CN"/>
              </w:rPr>
              <w:t>，</w:t>
            </w:r>
            <w:r>
              <w:rPr>
                <w:rFonts w:hint="eastAsia" w:ascii="仿宋" w:hAnsi="仿宋" w:eastAsia="仿宋" w:cs="仿宋"/>
                <w:color w:val="000000"/>
                <w:sz w:val="21"/>
                <w:szCs w:val="21"/>
              </w:rPr>
              <w:t>稳定土壤中重金属，阻止其排入水体，削减重金属排放1840</w:t>
            </w:r>
            <w:r>
              <w:rPr>
                <w:rFonts w:hint="eastAsia" w:ascii="仿宋" w:hAnsi="仿宋" w:eastAsia="仿宋" w:cs="仿宋"/>
                <w:color w:val="000000"/>
                <w:sz w:val="21"/>
                <w:szCs w:val="21"/>
                <w:lang w:val="en-US" w:eastAsia="zh-CN"/>
              </w:rPr>
              <w:t>t</w:t>
            </w:r>
            <w:r>
              <w:rPr>
                <w:rFonts w:hint="eastAsia" w:ascii="仿宋" w:hAnsi="仿宋" w:eastAsia="仿宋" w:cs="仿宋"/>
                <w:color w:val="000000"/>
                <w:sz w:val="21"/>
                <w:szCs w:val="21"/>
              </w:rPr>
              <w:t>，</w:t>
            </w:r>
            <w:r>
              <w:rPr>
                <w:rFonts w:hint="eastAsia" w:ascii="仿宋" w:hAnsi="仿宋" w:eastAsia="仿宋" w:cs="仿宋"/>
                <w:color w:val="0D0D0D"/>
                <w:sz w:val="21"/>
                <w:szCs w:val="21"/>
                <w:lang w:bidi="ar"/>
              </w:rPr>
              <w:t>削减土壤中有机污染物75t。全面提升了污染区及其周边的土壤、水环境质量，显著改善了区域居民的生存环境，提高了人民的生活质量和健康水平；</w:t>
            </w:r>
          </w:p>
          <w:p>
            <w:pPr>
              <w:keepNext w:val="0"/>
              <w:keepLines w:val="0"/>
              <w:pageBreakBefore w:val="0"/>
              <w:widowControl/>
              <w:kinsoku/>
              <w:wordWrap/>
              <w:overflowPunct/>
              <w:topLinePunct w:val="0"/>
              <w:autoSpaceDE w:val="0"/>
              <w:autoSpaceDN/>
              <w:bidi w:val="0"/>
              <w:adjustRightInd w:val="0"/>
              <w:snapToGrid w:val="0"/>
              <w:spacing w:line="400" w:lineRule="exact"/>
              <w:ind w:firstLine="420" w:firstLineChars="200"/>
              <w:textAlignment w:val="auto"/>
              <w:rPr>
                <w:rFonts w:hint="eastAsia" w:ascii="仿宋" w:hAnsi="仿宋" w:eastAsia="仿宋" w:cs="仿宋"/>
                <w:color w:val="0D0D0D"/>
                <w:sz w:val="21"/>
                <w:szCs w:val="21"/>
                <w:lang w:bidi="ar"/>
              </w:rPr>
            </w:pPr>
            <w:r>
              <w:rPr>
                <w:rFonts w:hint="eastAsia" w:ascii="仿宋" w:hAnsi="仿宋" w:eastAsia="仿宋" w:cs="仿宋"/>
                <w:color w:val="0D0D0D"/>
                <w:sz w:val="21"/>
                <w:szCs w:val="21"/>
                <w:lang w:bidi="ar"/>
              </w:rPr>
              <w:t>（</w:t>
            </w:r>
            <w:r>
              <w:rPr>
                <w:rFonts w:hint="eastAsia" w:ascii="仿宋" w:hAnsi="仿宋" w:eastAsia="仿宋" w:cs="仿宋"/>
                <w:color w:val="0D0D0D"/>
                <w:sz w:val="21"/>
                <w:szCs w:val="21"/>
                <w:lang w:val="en-US" w:eastAsia="zh-CN" w:bidi="ar"/>
              </w:rPr>
              <w:t>3</w:t>
            </w:r>
            <w:r>
              <w:rPr>
                <w:rFonts w:hint="eastAsia" w:ascii="仿宋" w:hAnsi="仿宋" w:eastAsia="仿宋" w:cs="仿宋"/>
                <w:color w:val="0D0D0D"/>
                <w:sz w:val="21"/>
                <w:szCs w:val="21"/>
                <w:lang w:bidi="ar"/>
              </w:rPr>
              <w:t>）项目实施已累计完成土壤修复工程48个，共计修复土壤面积超过</w:t>
            </w:r>
            <w:r>
              <w:rPr>
                <w:rFonts w:hint="eastAsia" w:ascii="仿宋" w:hAnsi="仿宋" w:eastAsia="仿宋" w:cs="仿宋"/>
                <w:color w:val="0D0D0D"/>
                <w:sz w:val="21"/>
                <w:szCs w:val="21"/>
                <w:highlight w:val="none"/>
                <w:lang w:bidi="ar"/>
              </w:rPr>
              <w:t>120</w:t>
            </w:r>
            <w:r>
              <w:rPr>
                <w:rFonts w:hint="eastAsia" w:ascii="仿宋" w:hAnsi="仿宋" w:eastAsia="仿宋" w:cs="仿宋"/>
                <w:color w:val="0D0D0D"/>
                <w:sz w:val="21"/>
                <w:szCs w:val="21"/>
                <w:lang w:bidi="ar"/>
              </w:rPr>
              <w:t>万</w:t>
            </w:r>
            <w:r>
              <w:rPr>
                <w:rFonts w:hint="eastAsia" w:ascii="仿宋" w:hAnsi="仿宋" w:eastAsia="仿宋" w:cs="仿宋"/>
                <w:color w:val="0D0D0D"/>
                <w:sz w:val="21"/>
                <w:szCs w:val="21"/>
                <w:lang w:val="en-US" w:eastAsia="zh-CN" w:bidi="ar"/>
              </w:rPr>
              <w:t>m</w:t>
            </w:r>
            <w:r>
              <w:rPr>
                <w:rFonts w:hint="eastAsia" w:ascii="仿宋" w:hAnsi="仿宋" w:eastAsia="仿宋" w:cs="仿宋"/>
                <w:color w:val="0D0D0D"/>
                <w:sz w:val="21"/>
                <w:szCs w:val="21"/>
                <w:vertAlign w:val="superscript"/>
                <w:lang w:val="en-US" w:eastAsia="zh-CN" w:bidi="ar"/>
              </w:rPr>
              <w:t>2</w:t>
            </w:r>
            <w:r>
              <w:rPr>
                <w:rFonts w:hint="eastAsia" w:ascii="仿宋" w:hAnsi="仿宋" w:eastAsia="仿宋" w:cs="仿宋"/>
                <w:color w:val="0D0D0D"/>
                <w:sz w:val="21"/>
                <w:szCs w:val="21"/>
                <w:lang w:bidi="ar"/>
              </w:rPr>
              <w:t>，</w:t>
            </w:r>
            <w:r>
              <w:rPr>
                <w:rFonts w:hint="eastAsia" w:ascii="仿宋" w:hAnsi="仿宋" w:eastAsia="仿宋" w:cs="仿宋"/>
                <w:color w:val="000000"/>
                <w:sz w:val="21"/>
                <w:szCs w:val="21"/>
              </w:rPr>
              <w:t>修复土方量超过300万</w:t>
            </w:r>
            <w:r>
              <w:rPr>
                <w:rFonts w:hint="eastAsia" w:ascii="仿宋" w:hAnsi="仿宋" w:eastAsia="仿宋" w:cs="仿宋"/>
                <w:color w:val="0D0D0D"/>
                <w:sz w:val="21"/>
                <w:szCs w:val="21"/>
                <w:lang w:val="en-US" w:eastAsia="zh-CN" w:bidi="ar"/>
              </w:rPr>
              <w:t>m</w:t>
            </w:r>
            <w:r>
              <w:rPr>
                <w:rFonts w:hint="eastAsia" w:ascii="仿宋" w:hAnsi="仿宋" w:eastAsia="仿宋" w:cs="仿宋"/>
                <w:color w:val="0D0D0D"/>
                <w:sz w:val="21"/>
                <w:szCs w:val="21"/>
                <w:vertAlign w:val="superscript"/>
                <w:lang w:val="en-US" w:eastAsia="zh-CN" w:bidi="ar"/>
              </w:rPr>
              <w:t>3</w:t>
            </w:r>
            <w:r>
              <w:rPr>
                <w:rFonts w:hint="eastAsia" w:ascii="仿宋" w:hAnsi="仿宋" w:eastAsia="仿宋" w:cs="仿宋"/>
                <w:color w:val="000000"/>
                <w:sz w:val="21"/>
                <w:szCs w:val="21"/>
              </w:rPr>
              <w:t>，</w:t>
            </w:r>
            <w:r>
              <w:rPr>
                <w:rFonts w:hint="eastAsia" w:ascii="仿宋" w:hAnsi="仿宋" w:eastAsia="仿宋" w:cs="仿宋"/>
                <w:color w:val="0D0D0D"/>
                <w:sz w:val="21"/>
                <w:szCs w:val="21"/>
                <w:lang w:bidi="ar"/>
              </w:rPr>
              <w:t>显著降低了重点污染区域土壤污染物的含量或毒性。</w:t>
            </w:r>
          </w:p>
          <w:p>
            <w:pPr>
              <w:keepNext w:val="0"/>
              <w:keepLines w:val="0"/>
              <w:pageBreakBefore w:val="0"/>
              <w:widowControl/>
              <w:kinsoku/>
              <w:wordWrap/>
              <w:overflowPunct/>
              <w:topLinePunct w:val="0"/>
              <w:autoSpaceDE w:val="0"/>
              <w:autoSpaceDN/>
              <w:bidi w:val="0"/>
              <w:adjustRightInd w:val="0"/>
              <w:snapToGrid w:val="0"/>
              <w:spacing w:line="400" w:lineRule="exact"/>
              <w:ind w:firstLine="420" w:firstLineChars="200"/>
              <w:textAlignment w:val="auto"/>
              <w:rPr>
                <w:rFonts w:hint="eastAsia" w:ascii="仿宋" w:hAnsi="仿宋" w:eastAsia="仿宋" w:cs="仿宋"/>
                <w:color w:val="0D0D0D"/>
                <w:sz w:val="21"/>
                <w:szCs w:val="21"/>
                <w:lang w:bidi="ar"/>
              </w:rPr>
            </w:pPr>
            <w:r>
              <w:rPr>
                <w:rFonts w:hint="eastAsia" w:ascii="仿宋" w:hAnsi="仿宋" w:eastAsia="仿宋" w:cs="仿宋"/>
                <w:color w:val="0D0D0D"/>
                <w:sz w:val="21"/>
                <w:szCs w:val="21"/>
                <w:lang w:bidi="ar"/>
              </w:rPr>
              <w:t>（</w:t>
            </w:r>
            <w:r>
              <w:rPr>
                <w:rFonts w:hint="eastAsia" w:ascii="仿宋" w:hAnsi="仿宋" w:eastAsia="仿宋" w:cs="仿宋"/>
                <w:color w:val="0D0D0D"/>
                <w:sz w:val="21"/>
                <w:szCs w:val="21"/>
                <w:lang w:val="en-US" w:eastAsia="zh-CN" w:bidi="ar"/>
              </w:rPr>
              <w:t>4</w:t>
            </w:r>
            <w:r>
              <w:rPr>
                <w:rFonts w:hint="eastAsia" w:ascii="仿宋" w:hAnsi="仿宋" w:eastAsia="仿宋" w:cs="仿宋"/>
                <w:color w:val="0D0D0D"/>
                <w:sz w:val="21"/>
                <w:szCs w:val="21"/>
                <w:lang w:bidi="ar"/>
              </w:rPr>
              <w:t>）恢复土地生态经济功能，提高土地利用率</w:t>
            </w:r>
          </w:p>
          <w:p>
            <w:pPr>
              <w:keepNext w:val="0"/>
              <w:keepLines w:val="0"/>
              <w:pageBreakBefore w:val="0"/>
              <w:widowControl/>
              <w:kinsoku/>
              <w:wordWrap/>
              <w:overflowPunct/>
              <w:topLinePunct w:val="0"/>
              <w:autoSpaceDE w:val="0"/>
              <w:autoSpaceDN/>
              <w:bidi w:val="0"/>
              <w:adjustRightInd w:val="0"/>
              <w:snapToGrid w:val="0"/>
              <w:spacing w:line="400" w:lineRule="exact"/>
              <w:ind w:firstLine="420" w:firstLineChars="200"/>
              <w:textAlignment w:val="auto"/>
              <w:rPr>
                <w:rFonts w:hint="eastAsia" w:ascii="仿宋" w:hAnsi="仿宋" w:eastAsia="仿宋" w:cs="仿宋"/>
                <w:color w:val="0D0D0D"/>
                <w:sz w:val="21"/>
                <w:szCs w:val="21"/>
                <w:lang w:bidi="ar"/>
              </w:rPr>
            </w:pPr>
            <w:r>
              <w:rPr>
                <w:rFonts w:hint="eastAsia" w:ascii="仿宋" w:hAnsi="仿宋" w:eastAsia="仿宋" w:cs="仿宋"/>
                <w:color w:val="0D0D0D"/>
                <w:sz w:val="21"/>
                <w:szCs w:val="21"/>
                <w:lang w:bidi="ar"/>
              </w:rPr>
              <w:t>随着工农业、城市化进程的加快发展，用地需求不断增加，土地资源变得非常稀缺，同时还面临着土壤污染不断扩大的威胁。因此，本项目应用的修复工程有利于保护土地资源、恢复土地生态经济功能、提高土地利用率，目前已修复的项目中，有14个项目进行了后续的土地开发利用，包括生态公园建设，房地产开发、公园园区建设等二次土地利用方式，累积创造间接经济效益38亿元。</w:t>
            </w:r>
          </w:p>
          <w:p>
            <w:pPr>
              <w:keepNext w:val="0"/>
              <w:keepLines w:val="0"/>
              <w:pageBreakBefore w:val="0"/>
              <w:widowControl/>
              <w:kinsoku/>
              <w:wordWrap/>
              <w:overflowPunct/>
              <w:topLinePunct w:val="0"/>
              <w:autoSpaceDE w:val="0"/>
              <w:autoSpaceDN/>
              <w:bidi w:val="0"/>
              <w:adjustRightInd w:val="0"/>
              <w:snapToGrid w:val="0"/>
              <w:spacing w:line="400" w:lineRule="exact"/>
              <w:ind w:firstLine="420" w:firstLineChars="200"/>
              <w:textAlignment w:val="auto"/>
              <w:rPr>
                <w:rFonts w:hint="eastAsia" w:ascii="仿宋" w:hAnsi="仿宋" w:eastAsia="仿宋" w:cs="仿宋"/>
                <w:color w:val="0D0D0D"/>
                <w:sz w:val="21"/>
                <w:szCs w:val="21"/>
                <w:lang w:bidi="ar"/>
              </w:rPr>
            </w:pPr>
            <w:r>
              <w:rPr>
                <w:rFonts w:hint="eastAsia" w:ascii="仿宋" w:hAnsi="仿宋" w:eastAsia="仿宋" w:cs="仿宋"/>
                <w:color w:val="0D0D0D"/>
                <w:sz w:val="21"/>
                <w:szCs w:val="21"/>
                <w:lang w:bidi="ar"/>
              </w:rPr>
              <w:t>（</w:t>
            </w:r>
            <w:r>
              <w:rPr>
                <w:rFonts w:hint="eastAsia" w:ascii="仿宋" w:hAnsi="仿宋" w:eastAsia="仿宋" w:cs="仿宋"/>
                <w:color w:val="0D0D0D"/>
                <w:sz w:val="21"/>
                <w:szCs w:val="21"/>
                <w:lang w:val="en-US" w:eastAsia="zh-CN" w:bidi="ar"/>
              </w:rPr>
              <w:t>5</w:t>
            </w:r>
            <w:r>
              <w:rPr>
                <w:rFonts w:hint="eastAsia" w:ascii="仿宋" w:hAnsi="仿宋" w:eastAsia="仿宋" w:cs="仿宋"/>
                <w:color w:val="0D0D0D"/>
                <w:sz w:val="21"/>
                <w:szCs w:val="21"/>
                <w:lang w:bidi="ar"/>
              </w:rPr>
              <w:t>）</w:t>
            </w:r>
            <w:r>
              <w:rPr>
                <w:rFonts w:hint="eastAsia" w:ascii="仿宋" w:hAnsi="仿宋" w:eastAsia="仿宋" w:cs="仿宋"/>
                <w:color w:val="0D0D0D"/>
                <w:sz w:val="21"/>
                <w:szCs w:val="21"/>
                <w:lang w:val="en-US" w:eastAsia="zh-CN" w:bidi="ar"/>
              </w:rPr>
              <w:t>显著</w:t>
            </w:r>
            <w:r>
              <w:rPr>
                <w:rFonts w:hint="eastAsia" w:ascii="仿宋" w:hAnsi="仿宋" w:eastAsia="仿宋" w:cs="仿宋"/>
                <w:color w:val="0D0D0D"/>
                <w:sz w:val="21"/>
                <w:szCs w:val="21"/>
                <w:lang w:bidi="ar"/>
              </w:rPr>
              <w:t>改善土壤环境质量</w:t>
            </w:r>
          </w:p>
          <w:p>
            <w:pPr>
              <w:keepNext w:val="0"/>
              <w:keepLines w:val="0"/>
              <w:pageBreakBefore w:val="0"/>
              <w:kinsoku/>
              <w:wordWrap/>
              <w:overflowPunct/>
              <w:topLinePunct w:val="0"/>
              <w:autoSpaceDN/>
              <w:bidi w:val="0"/>
              <w:spacing w:line="400" w:lineRule="exact"/>
              <w:textAlignment w:val="auto"/>
              <w:rPr>
                <w:rFonts w:hint="eastAsia" w:ascii="仿宋" w:hAnsi="仿宋" w:eastAsia="仿宋" w:cs="仿宋"/>
                <w:b/>
                <w:bCs/>
                <w:sz w:val="21"/>
                <w:szCs w:val="21"/>
                <w:vertAlign w:val="baseline"/>
                <w:lang w:val="en-US" w:eastAsia="zh-CN"/>
              </w:rPr>
            </w:pPr>
            <w:r>
              <w:rPr>
                <w:rFonts w:hint="eastAsia" w:ascii="仿宋" w:hAnsi="仿宋" w:eastAsia="仿宋" w:cs="仿宋"/>
                <w:color w:val="0D0D0D"/>
                <w:sz w:val="21"/>
                <w:szCs w:val="21"/>
                <w:lang w:bidi="ar"/>
              </w:rPr>
              <w:t>污染物在土壤中</w:t>
            </w:r>
            <w:r>
              <w:rPr>
                <w:rFonts w:hint="eastAsia" w:ascii="仿宋" w:hAnsi="仿宋" w:eastAsia="仿宋" w:cs="仿宋"/>
                <w:color w:val="0D0D0D"/>
                <w:sz w:val="21"/>
                <w:szCs w:val="21"/>
                <w:lang w:val="en-US" w:eastAsia="zh-CN" w:bidi="ar"/>
              </w:rPr>
              <w:t>大量</w:t>
            </w:r>
            <w:r>
              <w:rPr>
                <w:rFonts w:hint="eastAsia" w:ascii="仿宋" w:hAnsi="仿宋" w:eastAsia="仿宋" w:cs="仿宋"/>
                <w:color w:val="0D0D0D"/>
                <w:sz w:val="21"/>
                <w:szCs w:val="21"/>
                <w:lang w:bidi="ar"/>
              </w:rPr>
              <w:t>累积，</w:t>
            </w:r>
            <w:r>
              <w:rPr>
                <w:rFonts w:hint="eastAsia" w:ascii="仿宋" w:hAnsi="仿宋" w:eastAsia="仿宋" w:cs="仿宋"/>
                <w:color w:val="0D0D0D"/>
                <w:sz w:val="21"/>
                <w:szCs w:val="21"/>
                <w:lang w:val="en-US" w:eastAsia="zh-CN" w:bidi="ar"/>
              </w:rPr>
              <w:t>显著影响土壤环境质量，降低土壤生物活性。</w:t>
            </w:r>
            <w:r>
              <w:rPr>
                <w:rFonts w:hint="eastAsia" w:ascii="仿宋" w:hAnsi="仿宋" w:eastAsia="仿宋" w:cs="仿宋"/>
                <w:color w:val="0D0D0D"/>
                <w:sz w:val="21"/>
                <w:szCs w:val="21"/>
                <w:lang w:bidi="ar"/>
              </w:rPr>
              <w:t>本项目</w:t>
            </w:r>
            <w:r>
              <w:rPr>
                <w:rFonts w:hint="eastAsia" w:ascii="仿宋" w:hAnsi="仿宋" w:eastAsia="仿宋" w:cs="仿宋"/>
                <w:color w:val="0D0D0D"/>
                <w:sz w:val="21"/>
                <w:szCs w:val="21"/>
                <w:lang w:val="en-US" w:eastAsia="zh-CN" w:bidi="ar"/>
              </w:rPr>
              <w:t>开发的绿色修复技术在去除污染物的同时可以改善土壤环境质量，</w:t>
            </w:r>
            <w:r>
              <w:rPr>
                <w:rFonts w:hint="eastAsia" w:ascii="仿宋" w:hAnsi="仿宋" w:eastAsia="仿宋" w:cs="仿宋"/>
                <w:color w:val="0D0D0D"/>
                <w:sz w:val="21"/>
                <w:szCs w:val="21"/>
                <w:lang w:bidi="ar"/>
              </w:rPr>
              <w:t>有利于实现土地的安全生产及开发利用。</w:t>
            </w:r>
          </w:p>
        </w:tc>
      </w:tr>
    </w:tbl>
    <w:p>
      <w:pPr>
        <w:jc w:val="both"/>
        <w:rPr>
          <w:rFonts w:hint="eastAsia" w:asciiTheme="majorEastAsia" w:hAnsiTheme="majorEastAsia" w:eastAsiaTheme="majorEastAsia" w:cstheme="majorEastAsia"/>
          <w:b/>
          <w:bCs/>
          <w:sz w:val="36"/>
          <w:szCs w:val="36"/>
          <w:lang w:val="en-US" w:eastAsia="zh-CN"/>
        </w:rPr>
      </w:pPr>
    </w:p>
    <w:p>
      <w:pPr>
        <w:jc w:val="both"/>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项目三：</w:t>
      </w:r>
    </w:p>
    <w:tbl>
      <w:tblPr>
        <w:tblStyle w:val="5"/>
        <w:tblW w:w="92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9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2" w:hRule="atLeast"/>
        </w:trPr>
        <w:tc>
          <w:tcPr>
            <w:tcW w:w="2290" w:type="dxa"/>
            <w:vAlign w:val="center"/>
          </w:tcPr>
          <w:p>
            <w:pPr>
              <w:jc w:val="center"/>
              <w:rPr>
                <w:rFonts w:hint="eastAsia" w:ascii="仿宋" w:hAnsi="仿宋" w:eastAsia="仿宋" w:cs="仿宋"/>
                <w:b/>
                <w:bCs/>
                <w:sz w:val="28"/>
                <w:szCs w:val="28"/>
                <w:vertAlign w:val="baseline"/>
                <w:lang w:val="en-US" w:eastAsia="zh-CN"/>
              </w:rPr>
            </w:pPr>
            <w:r>
              <w:rPr>
                <w:rFonts w:hint="eastAsia" w:ascii="仿宋" w:hAnsi="仿宋" w:eastAsia="仿宋" w:cs="仿宋"/>
                <w:b/>
                <w:bCs/>
                <w:sz w:val="28"/>
                <w:szCs w:val="28"/>
                <w:vertAlign w:val="baseline"/>
                <w:lang w:val="en-US" w:eastAsia="zh-CN"/>
              </w:rPr>
              <w:t>项目名称</w:t>
            </w:r>
          </w:p>
        </w:tc>
        <w:tc>
          <w:tcPr>
            <w:tcW w:w="6929" w:type="dxa"/>
            <w:vAlign w:val="center"/>
          </w:tcPr>
          <w:p>
            <w:pPr>
              <w:spacing w:line="360" w:lineRule="auto"/>
              <w:rPr>
                <w:rFonts w:hint="eastAsia" w:ascii="仿宋" w:hAnsi="仿宋" w:eastAsia="仿宋" w:cs="仿宋"/>
                <w:b/>
                <w:bCs/>
                <w:sz w:val="21"/>
                <w:szCs w:val="21"/>
                <w:vertAlign w:val="baseline"/>
                <w:lang w:val="en-US" w:eastAsia="zh-CN"/>
              </w:rPr>
            </w:pPr>
            <w:r>
              <w:rPr>
                <w:rFonts w:hint="eastAsia" w:ascii="仿宋" w:hAnsi="仿宋" w:eastAsia="仿宋" w:cs="仿宋"/>
                <w:sz w:val="21"/>
                <w:szCs w:val="21"/>
              </w:rPr>
              <w:t>小型生活污水处理装置在线监控预警系统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5" w:hRule="atLeast"/>
        </w:trPr>
        <w:tc>
          <w:tcPr>
            <w:tcW w:w="2290" w:type="dxa"/>
            <w:vAlign w:val="center"/>
          </w:tcPr>
          <w:p>
            <w:pPr>
              <w:jc w:val="center"/>
              <w:rPr>
                <w:rFonts w:hint="eastAsia" w:ascii="仿宋" w:hAnsi="仿宋" w:eastAsia="仿宋" w:cs="仿宋"/>
                <w:b/>
                <w:bCs/>
                <w:sz w:val="28"/>
                <w:szCs w:val="28"/>
                <w:vertAlign w:val="baseline"/>
                <w:lang w:val="en-US" w:eastAsia="zh-CN"/>
              </w:rPr>
            </w:pPr>
            <w:r>
              <w:rPr>
                <w:rFonts w:hint="eastAsia" w:ascii="仿宋" w:hAnsi="仿宋" w:eastAsia="仿宋" w:cs="仿宋"/>
                <w:b/>
                <w:bCs/>
                <w:sz w:val="28"/>
                <w:szCs w:val="28"/>
                <w:vertAlign w:val="baseline"/>
                <w:lang w:val="en-US" w:eastAsia="zh-CN"/>
              </w:rPr>
              <w:t>主要完成单位</w:t>
            </w:r>
          </w:p>
        </w:tc>
        <w:tc>
          <w:tcPr>
            <w:tcW w:w="6929" w:type="dxa"/>
            <w:vAlign w:val="center"/>
          </w:tcPr>
          <w:p>
            <w:pPr>
              <w:spacing w:line="360" w:lineRule="auto"/>
              <w:rPr>
                <w:rFonts w:hint="eastAsia" w:ascii="仿宋" w:hAnsi="仿宋" w:eastAsia="仿宋" w:cs="仿宋"/>
                <w:b/>
                <w:bCs/>
                <w:sz w:val="21"/>
                <w:szCs w:val="21"/>
                <w:vertAlign w:val="baseline"/>
                <w:lang w:val="en-US" w:eastAsia="zh-CN"/>
              </w:rPr>
            </w:pPr>
            <w:r>
              <w:rPr>
                <w:rFonts w:hint="eastAsia" w:ascii="仿宋" w:hAnsi="仿宋" w:eastAsia="仿宋" w:cs="仿宋"/>
                <w:sz w:val="21"/>
                <w:szCs w:val="21"/>
                <w:lang w:eastAsia="zh-CN"/>
              </w:rPr>
              <w:t>湖南航天电团网络科技有限公司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8" w:hRule="atLeast"/>
        </w:trPr>
        <w:tc>
          <w:tcPr>
            <w:tcW w:w="2290" w:type="dxa"/>
            <w:vAlign w:val="center"/>
          </w:tcPr>
          <w:p>
            <w:pPr>
              <w:jc w:val="center"/>
              <w:rPr>
                <w:rFonts w:hint="eastAsia" w:ascii="仿宋" w:hAnsi="仿宋" w:eastAsia="仿宋" w:cs="仿宋"/>
                <w:b/>
                <w:bCs/>
                <w:sz w:val="28"/>
                <w:szCs w:val="28"/>
                <w:vertAlign w:val="baseline"/>
                <w:lang w:val="en-US" w:eastAsia="zh-CN"/>
              </w:rPr>
            </w:pPr>
            <w:r>
              <w:rPr>
                <w:rFonts w:hint="eastAsia" w:ascii="仿宋" w:hAnsi="仿宋" w:eastAsia="仿宋" w:cs="仿宋"/>
                <w:b/>
                <w:bCs/>
                <w:sz w:val="28"/>
                <w:szCs w:val="28"/>
                <w:vertAlign w:val="baseline"/>
                <w:lang w:val="en-US" w:eastAsia="zh-CN"/>
              </w:rPr>
              <w:t>主要完成人</w:t>
            </w:r>
          </w:p>
        </w:tc>
        <w:tc>
          <w:tcPr>
            <w:tcW w:w="6929" w:type="dxa"/>
            <w:vAlign w:val="center"/>
          </w:tcPr>
          <w:p>
            <w:pPr>
              <w:jc w:val="both"/>
              <w:rPr>
                <w:rFonts w:hint="eastAsia" w:ascii="仿宋" w:hAnsi="仿宋" w:eastAsia="仿宋" w:cs="仿宋"/>
                <w:b/>
                <w:bCs/>
                <w:sz w:val="21"/>
                <w:szCs w:val="21"/>
                <w:vertAlign w:val="baseline"/>
                <w:lang w:val="en-US" w:eastAsia="zh-CN"/>
              </w:rPr>
            </w:pPr>
            <w:r>
              <w:rPr>
                <w:rFonts w:hint="eastAsia" w:ascii="仿宋" w:hAnsi="仿宋" w:eastAsia="仿宋" w:cs="仿宋"/>
                <w:sz w:val="21"/>
                <w:szCs w:val="21"/>
                <w:lang w:val="en-US" w:eastAsia="zh-CN"/>
              </w:rPr>
              <w:t>叶斌，张威，张华，夏顺利，毛人杰，杨大赉，陈朝元，江蕊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07" w:hRule="atLeast"/>
        </w:trPr>
        <w:tc>
          <w:tcPr>
            <w:tcW w:w="2290" w:type="dxa"/>
            <w:vAlign w:val="center"/>
          </w:tcPr>
          <w:p>
            <w:pPr>
              <w:jc w:val="center"/>
              <w:rPr>
                <w:rFonts w:hint="eastAsia" w:ascii="仿宋" w:hAnsi="仿宋" w:eastAsia="仿宋" w:cs="仿宋"/>
                <w:b/>
                <w:bCs/>
                <w:sz w:val="28"/>
                <w:szCs w:val="28"/>
                <w:vertAlign w:val="baseline"/>
                <w:lang w:val="en-US" w:eastAsia="zh-CN"/>
              </w:rPr>
            </w:pPr>
            <w:r>
              <w:rPr>
                <w:rFonts w:hint="eastAsia" w:ascii="仿宋" w:hAnsi="仿宋" w:eastAsia="仿宋" w:cs="仿宋"/>
                <w:b/>
                <w:bCs/>
                <w:sz w:val="28"/>
                <w:szCs w:val="28"/>
                <w:vertAlign w:val="baseline"/>
                <w:lang w:val="en-US" w:eastAsia="zh-CN"/>
              </w:rPr>
              <w:t>项目简介</w:t>
            </w:r>
          </w:p>
        </w:tc>
        <w:tc>
          <w:tcPr>
            <w:tcW w:w="6929" w:type="dxa"/>
            <w:vAlign w:val="center"/>
          </w:tcPr>
          <w:p>
            <w:pPr>
              <w:spacing w:line="360" w:lineRule="auto"/>
              <w:ind w:firstLine="420" w:firstLineChars="200"/>
              <w:jc w:val="left"/>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为改变专业人力、资金、工具不足，解决数据量少和无效监管的现状，</w:t>
            </w:r>
          </w:p>
          <w:p>
            <w:pPr>
              <w:spacing w:line="360" w:lineRule="auto"/>
              <w:ind w:firstLine="420" w:firstLineChars="200"/>
              <w:jc w:val="left"/>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首先，我们采用了软硬件相结合的方法，建立了大量的样本点，连续不断地对各“支撑因素”进行信息采集，将并将每个运转指标、每个环节和变化细节都相对应着一个化学指标，并反复进行验证和校准。获得了大量的经验数据。然后，将经验数据不断驯化提高系统的智能智慧化程度和分析预测水平。</w:t>
            </w:r>
          </w:p>
          <w:p>
            <w:pPr>
              <w:spacing w:line="360" w:lineRule="auto"/>
              <w:ind w:firstLine="420" w:firstLineChars="200"/>
              <w:jc w:val="left"/>
              <w:rPr>
                <w:rFonts w:hint="eastAsia" w:ascii="仿宋" w:hAnsi="仿宋" w:eastAsia="仿宋" w:cs="仿宋"/>
                <w:sz w:val="21"/>
                <w:szCs w:val="21"/>
                <w:lang w:val="en-US" w:eastAsia="zh-CN"/>
              </w:rPr>
            </w:pPr>
            <w:r>
              <w:rPr>
                <w:rFonts w:hint="eastAsia" w:ascii="仿宋" w:hAnsi="仿宋" w:eastAsia="仿宋" w:cs="仿宋"/>
                <w:b w:val="0"/>
                <w:bCs w:val="0"/>
                <w:sz w:val="21"/>
                <w:szCs w:val="21"/>
                <w:vertAlign w:val="baseline"/>
                <w:lang w:val="en-US" w:eastAsia="zh-CN"/>
              </w:rPr>
              <w:t>目前， “环务通”在线监控系统，已经在全国12个省市得到应用。显著提高了我国农村污水监控智能化管理技术水平。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63" w:hRule="atLeast"/>
        </w:trPr>
        <w:tc>
          <w:tcPr>
            <w:tcW w:w="2290" w:type="dxa"/>
            <w:vAlign w:val="center"/>
          </w:tcPr>
          <w:p>
            <w:pPr>
              <w:jc w:val="center"/>
              <w:rPr>
                <w:rFonts w:hint="eastAsia" w:ascii="仿宋" w:hAnsi="仿宋" w:eastAsia="仿宋" w:cs="仿宋"/>
                <w:b/>
                <w:bCs/>
                <w:sz w:val="28"/>
                <w:szCs w:val="28"/>
                <w:vertAlign w:val="baseline"/>
                <w:lang w:val="en-US" w:eastAsia="zh-CN"/>
              </w:rPr>
            </w:pPr>
            <w:r>
              <w:rPr>
                <w:rFonts w:hint="eastAsia" w:ascii="仿宋" w:hAnsi="仿宋" w:eastAsia="仿宋" w:cs="仿宋"/>
                <w:b/>
                <w:bCs/>
                <w:sz w:val="28"/>
                <w:szCs w:val="28"/>
                <w:vertAlign w:val="baseline"/>
                <w:lang w:val="en-US" w:eastAsia="zh-CN"/>
              </w:rPr>
              <w:t>推广应用情况及效益</w:t>
            </w:r>
          </w:p>
        </w:tc>
        <w:tc>
          <w:tcPr>
            <w:tcW w:w="6929" w:type="dxa"/>
            <w:vAlign w:val="center"/>
          </w:tcPr>
          <w:p>
            <w:pPr>
              <w:spacing w:line="360" w:lineRule="auto"/>
              <w:ind w:firstLine="630" w:firstLineChars="300"/>
              <w:jc w:val="left"/>
              <w:rPr>
                <w:rFonts w:hint="default" w:asciiTheme="majorEastAsia" w:hAnsiTheme="majorEastAsia" w:eastAsiaTheme="majorEastAsia" w:cstheme="majorEastAsia"/>
                <w:b/>
                <w:bCs/>
                <w:sz w:val="21"/>
                <w:szCs w:val="21"/>
                <w:vertAlign w:val="baseline"/>
                <w:lang w:val="en-US" w:eastAsia="zh-CN"/>
              </w:rPr>
            </w:pPr>
            <w:r>
              <w:rPr>
                <w:rFonts w:hint="eastAsia" w:ascii="仿宋" w:hAnsi="仿宋" w:eastAsia="仿宋" w:cs="仿宋"/>
                <w:b w:val="0"/>
                <w:bCs w:val="0"/>
                <w:sz w:val="21"/>
                <w:szCs w:val="21"/>
                <w:vertAlign w:val="baseline"/>
                <w:lang w:val="en-US" w:eastAsia="zh-CN"/>
              </w:rPr>
              <w:t>本项目经过样本点建设、数据采集分析、建模校准、硬件开发、稳定测试，并与在通信，人工智能积累的前沿技术和在硬件生产、物流、安装及售后系统具有庞大的市场通道的华为技术有限公司合作，为“环务通”赋能，加速推进行业细分领域的数字化/智能化转型。为行业做技术和应用的储备。</w:t>
            </w:r>
          </w:p>
        </w:tc>
      </w:tr>
    </w:tbl>
    <w:p>
      <w:pPr>
        <w:jc w:val="both"/>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项目四：</w:t>
      </w:r>
    </w:p>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2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2" w:hRule="atLeast"/>
        </w:trPr>
        <w:tc>
          <w:tcPr>
            <w:tcW w:w="2290" w:type="dxa"/>
            <w:vAlign w:val="center"/>
          </w:tcPr>
          <w:p>
            <w:pPr>
              <w:jc w:val="center"/>
              <w:rPr>
                <w:rFonts w:hint="eastAsia" w:ascii="仿宋" w:hAnsi="仿宋" w:eastAsia="仿宋" w:cs="仿宋"/>
                <w:b/>
                <w:bCs/>
                <w:sz w:val="28"/>
                <w:szCs w:val="28"/>
                <w:vertAlign w:val="baseline"/>
                <w:lang w:val="en-US" w:eastAsia="zh-CN"/>
              </w:rPr>
            </w:pPr>
            <w:r>
              <w:rPr>
                <w:rFonts w:hint="eastAsia" w:ascii="仿宋" w:hAnsi="仿宋" w:eastAsia="仿宋" w:cs="仿宋"/>
                <w:b/>
                <w:bCs/>
                <w:sz w:val="28"/>
                <w:szCs w:val="28"/>
                <w:vertAlign w:val="baseline"/>
                <w:lang w:val="en-US" w:eastAsia="zh-CN"/>
              </w:rPr>
              <w:t>项目名称</w:t>
            </w:r>
          </w:p>
        </w:tc>
        <w:tc>
          <w:tcPr>
            <w:tcW w:w="6232" w:type="dxa"/>
            <w:vAlign w:val="center"/>
          </w:tcPr>
          <w:p>
            <w:pPr>
              <w:jc w:val="center"/>
              <w:rPr>
                <w:rFonts w:hint="eastAsia" w:ascii="仿宋" w:hAnsi="仿宋" w:eastAsia="仿宋" w:cs="仿宋"/>
                <w:sz w:val="21"/>
                <w:szCs w:val="21"/>
                <w:lang w:eastAsia="zh-CN"/>
              </w:rPr>
            </w:pPr>
            <w:r>
              <w:rPr>
                <w:rFonts w:hint="eastAsia" w:ascii="仿宋" w:hAnsi="仿宋" w:eastAsia="仿宋" w:cs="仿宋"/>
                <w:sz w:val="21"/>
                <w:szCs w:val="21"/>
                <w:lang w:eastAsia="zh-CN"/>
              </w:rPr>
              <w:t>复杂含砷固废资源综合回收利用项目</w:t>
            </w:r>
          </w:p>
          <w:p>
            <w:pPr>
              <w:jc w:val="center"/>
              <w:rPr>
                <w:rFonts w:hint="eastAsia" w:ascii="仿宋" w:hAnsi="仿宋" w:eastAsia="仿宋" w:cs="仿宋"/>
                <w:b/>
                <w:bCs/>
                <w:sz w:val="21"/>
                <w:szCs w:val="21"/>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5" w:hRule="atLeast"/>
        </w:trPr>
        <w:tc>
          <w:tcPr>
            <w:tcW w:w="2290" w:type="dxa"/>
            <w:vAlign w:val="center"/>
          </w:tcPr>
          <w:p>
            <w:pPr>
              <w:jc w:val="center"/>
              <w:rPr>
                <w:rFonts w:hint="eastAsia" w:ascii="仿宋" w:hAnsi="仿宋" w:eastAsia="仿宋" w:cs="仿宋"/>
                <w:b/>
                <w:bCs/>
                <w:sz w:val="28"/>
                <w:szCs w:val="28"/>
                <w:vertAlign w:val="baseline"/>
                <w:lang w:val="en-US" w:eastAsia="zh-CN"/>
              </w:rPr>
            </w:pPr>
            <w:r>
              <w:rPr>
                <w:rFonts w:hint="eastAsia" w:ascii="仿宋" w:hAnsi="仿宋" w:eastAsia="仿宋" w:cs="仿宋"/>
                <w:b/>
                <w:bCs/>
                <w:sz w:val="28"/>
                <w:szCs w:val="28"/>
                <w:vertAlign w:val="baseline"/>
                <w:lang w:val="en-US" w:eastAsia="zh-CN"/>
              </w:rPr>
              <w:t>主要完成单位</w:t>
            </w:r>
          </w:p>
        </w:tc>
        <w:tc>
          <w:tcPr>
            <w:tcW w:w="6232" w:type="dxa"/>
            <w:vAlign w:val="center"/>
          </w:tcPr>
          <w:p>
            <w:pPr>
              <w:jc w:val="center"/>
              <w:rPr>
                <w:rFonts w:hint="eastAsia" w:ascii="仿宋" w:hAnsi="仿宋" w:eastAsia="仿宋" w:cs="仿宋"/>
                <w:sz w:val="21"/>
                <w:szCs w:val="21"/>
                <w:lang w:eastAsia="zh-CN"/>
              </w:rPr>
            </w:pPr>
            <w:r>
              <w:rPr>
                <w:rFonts w:hint="eastAsia" w:ascii="仿宋" w:hAnsi="仿宋" w:eastAsia="仿宋" w:cs="仿宋"/>
                <w:sz w:val="21"/>
                <w:szCs w:val="21"/>
                <w:lang w:eastAsia="zh-CN"/>
              </w:rPr>
              <w:t>耒阳市焱鑫有色金属有限公司、中南大学</w:t>
            </w:r>
          </w:p>
          <w:p>
            <w:pPr>
              <w:jc w:val="center"/>
              <w:rPr>
                <w:rFonts w:hint="eastAsia" w:ascii="仿宋" w:hAnsi="仿宋" w:eastAsia="仿宋" w:cs="仿宋"/>
                <w:b/>
                <w:bCs/>
                <w:sz w:val="21"/>
                <w:szCs w:val="21"/>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8" w:hRule="atLeast"/>
        </w:trPr>
        <w:tc>
          <w:tcPr>
            <w:tcW w:w="2290" w:type="dxa"/>
            <w:vAlign w:val="center"/>
          </w:tcPr>
          <w:p>
            <w:pPr>
              <w:jc w:val="center"/>
              <w:rPr>
                <w:rFonts w:hint="eastAsia" w:ascii="仿宋" w:hAnsi="仿宋" w:eastAsia="仿宋" w:cs="仿宋"/>
                <w:b/>
                <w:bCs/>
                <w:sz w:val="28"/>
                <w:szCs w:val="28"/>
                <w:vertAlign w:val="baseline"/>
                <w:lang w:val="en-US" w:eastAsia="zh-CN"/>
              </w:rPr>
            </w:pPr>
            <w:r>
              <w:rPr>
                <w:rFonts w:hint="eastAsia" w:ascii="仿宋" w:hAnsi="仿宋" w:eastAsia="仿宋" w:cs="仿宋"/>
                <w:b/>
                <w:bCs/>
                <w:sz w:val="28"/>
                <w:szCs w:val="28"/>
                <w:vertAlign w:val="baseline"/>
                <w:lang w:val="en-US" w:eastAsia="zh-CN"/>
              </w:rPr>
              <w:t>主要完成人</w:t>
            </w:r>
          </w:p>
        </w:tc>
        <w:tc>
          <w:tcPr>
            <w:tcW w:w="6232" w:type="dxa"/>
            <w:vAlign w:val="center"/>
          </w:tcPr>
          <w:p>
            <w:pPr>
              <w:jc w:val="center"/>
              <w:rPr>
                <w:rFonts w:hint="eastAsia" w:ascii="仿宋" w:hAnsi="仿宋" w:eastAsia="仿宋" w:cs="仿宋"/>
                <w:color w:val="auto"/>
                <w:sz w:val="21"/>
                <w:szCs w:val="21"/>
                <w:lang w:eastAsia="zh-CN"/>
              </w:rPr>
            </w:pPr>
            <w:r>
              <w:rPr>
                <w:rFonts w:hint="eastAsia" w:ascii="仿宋" w:hAnsi="仿宋" w:eastAsia="仿宋" w:cs="仿宋"/>
                <w:color w:val="auto"/>
                <w:sz w:val="21"/>
                <w:szCs w:val="21"/>
                <w:lang w:eastAsia="zh-CN"/>
              </w:rPr>
              <w:t>石仁章、宋剑飞、石俊阳、汪琴、李栋、石宏娇、王亲猛、童志博、许志鹏、莫运华、于大伟、梁金凤、夏阳、梁瑞勇、王小明</w:t>
            </w:r>
          </w:p>
          <w:p>
            <w:pPr>
              <w:jc w:val="center"/>
              <w:rPr>
                <w:rFonts w:hint="eastAsia" w:ascii="仿宋" w:hAnsi="仿宋" w:eastAsia="仿宋" w:cs="仿宋"/>
                <w:b/>
                <w:bCs/>
                <w:sz w:val="21"/>
                <w:szCs w:val="21"/>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7" w:hRule="atLeast"/>
        </w:trPr>
        <w:tc>
          <w:tcPr>
            <w:tcW w:w="2290" w:type="dxa"/>
            <w:vAlign w:val="center"/>
          </w:tcPr>
          <w:p>
            <w:pPr>
              <w:jc w:val="center"/>
              <w:rPr>
                <w:rFonts w:hint="eastAsia" w:ascii="仿宋" w:hAnsi="仿宋" w:eastAsia="仿宋" w:cs="仿宋"/>
                <w:b/>
                <w:bCs/>
                <w:sz w:val="28"/>
                <w:szCs w:val="28"/>
                <w:vertAlign w:val="baseline"/>
                <w:lang w:val="en-US" w:eastAsia="zh-CN"/>
              </w:rPr>
            </w:pPr>
            <w:r>
              <w:rPr>
                <w:rFonts w:hint="eastAsia" w:ascii="仿宋" w:hAnsi="仿宋" w:eastAsia="仿宋" w:cs="仿宋"/>
                <w:b/>
                <w:bCs/>
                <w:sz w:val="28"/>
                <w:szCs w:val="28"/>
                <w:vertAlign w:val="baseline"/>
                <w:lang w:val="en-US" w:eastAsia="zh-CN"/>
              </w:rPr>
              <w:t>项目简介</w:t>
            </w:r>
          </w:p>
        </w:tc>
        <w:tc>
          <w:tcPr>
            <w:tcW w:w="6232" w:type="dxa"/>
            <w:vAlign w:val="center"/>
          </w:tcPr>
          <w:p>
            <w:pPr>
              <w:ind w:firstLine="420" w:firstLineChars="200"/>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湖南省是有色金属之乡，有色金属矿床普遍含砷，其含量从万分之几到百分之几不等，有色冶金系统每年从精矿中带到冶炼厂的砷有数万吨，含砷危险固体废物治理具有危害范围广、危害性大、治理困难等难点。传统的治理与利用工艺片面追求有价金属回收，忽视砷污染防控，不仅资源利用率低，而且全过程砷流向失控，二次污染严重。公司定位做全国冶炼、化工企业废料的“清洁工”。公司通过自主研发的 “湿法沉淀、火法挥发、控温提纯”的专利技术和自主研发的生产设备，利用冶炼企业产生的各类烟尘灰、废渣、砷碱渣，综合回收危废资源中的砷、铅、锑、铋、锡、碲、铟等十五种有价金属。做到以废治废，变废为宝不再产生二次污染源。实现了危废的减量化，无害化，资源化的综合回收利用。</w:t>
            </w:r>
          </w:p>
          <w:p>
            <w:pPr>
              <w:ind w:firstLine="420" w:firstLineChars="200"/>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项目团队经过30余年的研发，通过理论、方法和技术攻关，完成了复杂含砷固废综合回收利用新技术的研发，解决了砷污染的难题。项目研发过程中获得PCT专利6项，发明专利15项，实用新型专利48项。核心PCT国际发明专利“一种复杂含砷及有价金属渣尘物料的综合回收方法”已进入欧盟、南非、智利、澳大利亚、印度等国家和地区。并且获得了省科技厅湘科鉴委字【2011】第040号科技成果鉴定。</w:t>
            </w:r>
          </w:p>
          <w:p>
            <w:pPr>
              <w:jc w:val="center"/>
              <w:rPr>
                <w:rFonts w:hint="eastAsia" w:ascii="仿宋" w:hAnsi="仿宋" w:eastAsia="仿宋" w:cs="仿宋"/>
                <w:b/>
                <w:bCs/>
                <w:sz w:val="21"/>
                <w:szCs w:val="21"/>
                <w:vertAlign w:val="baseline"/>
                <w:lang w:val="en-US" w:eastAsia="zh-CN"/>
              </w:rPr>
            </w:pPr>
            <w:r>
              <w:rPr>
                <w:rFonts w:hint="eastAsia" w:ascii="仿宋" w:hAnsi="仿宋" w:eastAsia="仿宋" w:cs="仿宋"/>
                <w:sz w:val="21"/>
                <w:szCs w:val="21"/>
                <w:lang w:val="en-US" w:eastAsia="zh-CN"/>
              </w:rPr>
              <w:t xml:space="preserve">    该项目成功完成科技转化，耒阳市焱鑫有色金属有限公司投资6亿元，位于耒阳市循环经济产业园，包括富氧侧吹炉系统、烟化炉系统、锑白系统、电解铅系统、贵金属系统、精铋系统、脱砷转盘窑系统、砷碱渣处置系统等八大工艺系统，已全部达产。主要客户为五矿金铜（湖南）有限公司、东港锑品有限公司、益阳市桃江县环保局、耒阳市环保局、新宁县环保局等国有企业及政府单位查处的废渣料。项目广泛应用于处理有色金属冶炼及化工企业的废料，主要特点是处置含“砷”危险固废，综合回收各冶炼化工企业产生的废烟灰、废渣、废水处理后的污泥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1" w:hRule="atLeast"/>
        </w:trPr>
        <w:tc>
          <w:tcPr>
            <w:tcW w:w="2290" w:type="dxa"/>
            <w:vAlign w:val="center"/>
          </w:tcPr>
          <w:p>
            <w:pPr>
              <w:jc w:val="center"/>
              <w:rPr>
                <w:rFonts w:hint="eastAsia" w:ascii="仿宋" w:hAnsi="仿宋" w:eastAsia="仿宋" w:cs="仿宋"/>
                <w:b/>
                <w:bCs/>
                <w:sz w:val="32"/>
                <w:szCs w:val="32"/>
                <w:vertAlign w:val="baseline"/>
                <w:lang w:val="en-US" w:eastAsia="zh-CN"/>
              </w:rPr>
            </w:pPr>
            <w:r>
              <w:rPr>
                <w:rFonts w:hint="eastAsia" w:ascii="仿宋" w:hAnsi="仿宋" w:eastAsia="仿宋" w:cs="仿宋"/>
                <w:b/>
                <w:bCs/>
                <w:sz w:val="28"/>
                <w:szCs w:val="28"/>
                <w:vertAlign w:val="baseline"/>
                <w:lang w:val="en-US" w:eastAsia="zh-CN"/>
              </w:rPr>
              <w:t>推广应用情况及效益</w:t>
            </w:r>
          </w:p>
        </w:tc>
        <w:tc>
          <w:tcPr>
            <w:tcW w:w="6232" w:type="dxa"/>
            <w:vAlign w:val="center"/>
          </w:tcPr>
          <w:p>
            <w:pPr>
              <w:ind w:firstLine="420" w:firstLineChars="200"/>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项目近三年实现销售收入7.8亿元，创税5000万元，是国内首家完全以含砷冶炼危废为原料制备高纯度有色金属的国内危险固废资源综合利用企业，行业地位卓著，技术水平及产业化实现能力在全国领先。为我国含砷固废的污染治理提供了技术保障。本项目每年砷碱渣处理量12000t，高砷烟灰处理量20000t，含砷废渣处理量18000t,高锑渣处理量5000t，每年可减少共计55000t含砷废渣料对环境的污染。经济社会效益良好。</w:t>
            </w:r>
          </w:p>
          <w:p>
            <w:pPr>
              <w:jc w:val="center"/>
              <w:rPr>
                <w:rFonts w:hint="eastAsia" w:ascii="仿宋" w:hAnsi="仿宋" w:eastAsia="仿宋" w:cs="仿宋"/>
                <w:b/>
                <w:bCs/>
                <w:sz w:val="21"/>
                <w:szCs w:val="21"/>
                <w:vertAlign w:val="baseline"/>
                <w:lang w:val="en-US" w:eastAsia="zh-CN"/>
              </w:rPr>
            </w:pPr>
          </w:p>
        </w:tc>
      </w:tr>
    </w:tbl>
    <w:p>
      <w:pPr>
        <w:jc w:val="both"/>
        <w:rPr>
          <w:rFonts w:hint="eastAsia" w:asciiTheme="majorEastAsia" w:hAnsiTheme="majorEastAsia" w:eastAsiaTheme="majorEastAsia" w:cstheme="majorEastAsia"/>
          <w:b/>
          <w:bCs/>
          <w:sz w:val="36"/>
          <w:szCs w:val="36"/>
          <w:lang w:val="en-US" w:eastAsia="zh-CN"/>
        </w:rPr>
      </w:pPr>
    </w:p>
    <w:p>
      <w:pPr>
        <w:jc w:val="both"/>
        <w:rPr>
          <w:rFonts w:hint="default" w:asciiTheme="majorEastAsia" w:hAnsiTheme="majorEastAsia" w:eastAsiaTheme="majorEastAsia" w:cstheme="majorEastAsia"/>
          <w:b/>
          <w:bCs/>
          <w:sz w:val="36"/>
          <w:szCs w:val="36"/>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E084701"/>
    <w:rsid w:val="03A9262F"/>
    <w:rsid w:val="2E084701"/>
    <w:rsid w:val="4F717292"/>
    <w:rsid w:val="56A232DA"/>
    <w:rsid w:val="6A2C705F"/>
    <w:rsid w:val="7E170B2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w:basedOn w:val="1"/>
    <w:qFormat/>
    <w:uiPriority w:val="0"/>
    <w:pPr>
      <w:spacing w:line="0" w:lineRule="atLeast"/>
    </w:pPr>
    <w:rPr>
      <w:sz w:val="30"/>
      <w:szCs w:val="20"/>
    </w:rPr>
  </w:style>
  <w:style w:type="paragraph" w:styleId="3">
    <w:name w:val="Plain Text"/>
    <w:basedOn w:val="1"/>
    <w:semiHidden/>
    <w:qFormat/>
    <w:uiPriority w:val="0"/>
    <w:pPr>
      <w:spacing w:line="360" w:lineRule="auto"/>
      <w:ind w:firstLine="480" w:firstLineChars="200"/>
    </w:pPr>
    <w:rPr>
      <w:rFonts w:ascii="仿宋_GB2312"/>
      <w:sz w:val="24"/>
    </w:rPr>
  </w:style>
  <w:style w:type="table" w:styleId="5">
    <w:name w:val="Table Grid"/>
    <w:basedOn w:val="4"/>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Pages>
  <Words>4775</Words>
  <Characters>5010</Characters>
  <Lines>0</Lines>
  <Paragraphs>0</Paragraphs>
  <TotalTime>6</TotalTime>
  <ScaleCrop>false</ScaleCrop>
  <LinksUpToDate>false</LinksUpToDate>
  <CharactersWithSpaces>5023</CharactersWithSpaces>
  <Application>WPS Office_11.1.0.9828_F1E327BC-269C-435d-A152-05C5408002CA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2020-07-09T02:50:00Z</dcterms:created>
  <dc:creator>admin</dc:creator>
  <cp:lastModifiedBy>admin</cp:lastModifiedBy>
  <dcterms:modified xsi:type="dcterms:W3CDTF">2020-07-09T07:51:27Z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2052-11.1.0.9828</vt:lpwstr>
  </property>
</Properties>
</file>