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left"/>
        <w:rPr>
          <w:rFonts w:ascii="Times New Roman" w:hAnsi="Times New Roman" w:eastAsia="仿宋_GB2312"/>
          <w:sz w:val="32"/>
          <w:szCs w:val="32"/>
        </w:rPr>
      </w:pPr>
      <w:r>
        <w:rPr>
          <w:rFonts w:hint="eastAsia" w:ascii="Times New Roman" w:hAnsi="Times New Roman" w:eastAsia="仿宋_GB2312"/>
          <w:sz w:val="32"/>
          <w:szCs w:val="32"/>
        </w:rPr>
        <w:t>附件1-1</w:t>
      </w:r>
    </w:p>
    <w:p>
      <w:pPr>
        <w:pStyle w:val="4"/>
        <w:adjustRightInd w:val="0"/>
        <w:snapToGrid w:val="0"/>
        <w:spacing w:line="240" w:lineRule="auto"/>
        <w:ind w:firstLine="0" w:firstLineChars="0"/>
        <w:jc w:val="center"/>
        <w:rPr>
          <w:rFonts w:hint="eastAsia" w:eastAsia="方正小标宋简体"/>
          <w:sz w:val="36"/>
          <w:szCs w:val="36"/>
        </w:rPr>
      </w:pPr>
      <w:r>
        <w:rPr>
          <w:rFonts w:hint="eastAsia" w:ascii="方正小标宋简体" w:hAnsi="宋体" w:eastAsia="方正小标宋简体"/>
          <w:sz w:val="36"/>
          <w:szCs w:val="36"/>
        </w:rPr>
        <w:t>“</w:t>
      </w:r>
      <w:r>
        <w:rPr>
          <w:rFonts w:ascii="方正小标宋简体" w:hAnsi="宋体" w:eastAsia="方正小标宋简体"/>
          <w:sz w:val="36"/>
          <w:szCs w:val="36"/>
        </w:rPr>
        <w:t>岳麓山实验室</w:t>
      </w:r>
      <w:r>
        <w:rPr>
          <w:rFonts w:hint="eastAsia" w:ascii="方正小标宋简体" w:hAnsi="宋体" w:eastAsia="方正小标宋简体"/>
          <w:sz w:val="36"/>
          <w:szCs w:val="36"/>
        </w:rPr>
        <w:t>培育”</w:t>
      </w:r>
      <w:r>
        <w:rPr>
          <w:rFonts w:eastAsia="方正小标宋简体"/>
          <w:sz w:val="36"/>
          <w:szCs w:val="36"/>
        </w:rPr>
        <w:t>重大创新示范工程</w:t>
      </w:r>
    </w:p>
    <w:p>
      <w:pPr>
        <w:pStyle w:val="4"/>
        <w:adjustRightInd w:val="0"/>
        <w:snapToGrid w:val="0"/>
        <w:spacing w:line="240" w:lineRule="auto"/>
        <w:ind w:firstLine="0" w:firstLineChars="0"/>
        <w:jc w:val="center"/>
        <w:rPr>
          <w:rFonts w:eastAsia="方正小标宋简体"/>
          <w:sz w:val="36"/>
          <w:szCs w:val="36"/>
        </w:rPr>
      </w:pPr>
      <w:r>
        <w:rPr>
          <w:rFonts w:eastAsia="方正小标宋简体"/>
          <w:sz w:val="36"/>
          <w:szCs w:val="36"/>
        </w:rPr>
        <w:t>定向项目申报指南</w:t>
      </w:r>
    </w:p>
    <w:p>
      <w:pPr>
        <w:pStyle w:val="4"/>
        <w:adjustRightInd w:val="0"/>
        <w:snapToGrid w:val="0"/>
        <w:spacing w:line="240" w:lineRule="auto"/>
        <w:ind w:firstLine="0" w:firstLineChars="0"/>
        <w:jc w:val="center"/>
        <w:rPr>
          <w:b/>
          <w:sz w:val="32"/>
          <w:szCs w:val="32"/>
        </w:rPr>
      </w:pPr>
      <w:r>
        <w:rPr>
          <w:rFonts w:hint="eastAsia"/>
          <w:b/>
          <w:sz w:val="32"/>
          <w:szCs w:val="32"/>
        </w:rPr>
        <w:t xml:space="preserve"> </w:t>
      </w:r>
    </w:p>
    <w:p>
      <w:pPr>
        <w:spacing w:line="52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为落实省委省政府重大部署，加快推进我省基础研究能力建设，积极构建从“基础研究”到“工程化”再到“产业化”的科技创新活动链，</w:t>
      </w:r>
      <w:r>
        <w:rPr>
          <w:rFonts w:ascii="Times New Roman" w:hAnsi="Times New Roman" w:eastAsia="仿宋_GB2312"/>
          <w:sz w:val="32"/>
          <w:szCs w:val="32"/>
        </w:rPr>
        <w:t>2019年长株潭标志性工程计划中设置“岳麓山实验室培育”重大创新示范工程定向支持项目，围绕探索高水平实验室的体制机制与运行模式，提出“横向整合多元化创新主体，形成金产学研用一体化模式，打造世界一流的基础学科群”的具体</w:t>
      </w:r>
      <w:r>
        <w:rPr>
          <w:rFonts w:hint="eastAsia" w:ascii="Times New Roman" w:hAnsi="Times New Roman" w:eastAsia="仿宋_GB2312"/>
          <w:sz w:val="32"/>
          <w:szCs w:val="32"/>
        </w:rPr>
        <w:t>建设</w:t>
      </w:r>
      <w:r>
        <w:rPr>
          <w:rFonts w:ascii="Times New Roman" w:hAnsi="Times New Roman" w:eastAsia="仿宋_GB2312"/>
          <w:sz w:val="32"/>
          <w:szCs w:val="32"/>
        </w:rPr>
        <w:t>思路，为实验室开展战略性、前瞻性、基础性、系统性和集成性的科技创新奠定基础。</w:t>
      </w:r>
    </w:p>
    <w:p>
      <w:pPr>
        <w:spacing w:line="52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本项目执行期3年，应整体申报，须覆盖相应指南方向的全部考核指标。具体指南内容如下：</w:t>
      </w:r>
    </w:p>
    <w:p>
      <w:pPr>
        <w:spacing w:line="52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培育内容</w:t>
      </w:r>
      <w:r>
        <w:rPr>
          <w:rFonts w:ascii="Times New Roman" w:hAnsi="Times New Roman" w:eastAsia="仿宋_GB2312"/>
          <w:sz w:val="32"/>
          <w:szCs w:val="32"/>
        </w:rPr>
        <w:t>：</w:t>
      </w:r>
      <w:r>
        <w:rPr>
          <w:rFonts w:ascii="仿宋_GB2312" w:hAnsi="仿宋_GB2312" w:eastAsia="仿宋_GB2312" w:cs="仿宋_GB2312"/>
          <w:sz w:val="32"/>
          <w:szCs w:val="32"/>
        </w:rPr>
        <w:t>聚焦</w:t>
      </w:r>
      <w:r>
        <w:rPr>
          <w:rFonts w:hint="eastAsia" w:ascii="仿宋_GB2312" w:hAnsi="仿宋_GB2312" w:eastAsia="仿宋_GB2312" w:cs="仿宋_GB2312"/>
          <w:sz w:val="32"/>
          <w:szCs w:val="32"/>
        </w:rPr>
        <w:t>自主</w:t>
      </w:r>
      <w:r>
        <w:rPr>
          <w:rFonts w:ascii="仿宋_GB2312" w:hAnsi="仿宋_GB2312" w:eastAsia="仿宋_GB2312" w:cs="仿宋_GB2312"/>
          <w:sz w:val="32"/>
          <w:szCs w:val="32"/>
        </w:rPr>
        <w:t>可控计算机</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人工智能</w:t>
      </w:r>
      <w:r>
        <w:rPr>
          <w:rFonts w:hint="eastAsia" w:ascii="仿宋_GB2312" w:hAnsi="仿宋_GB2312" w:eastAsia="仿宋_GB2312" w:cs="仿宋_GB2312"/>
          <w:sz w:val="32"/>
          <w:szCs w:val="32"/>
        </w:rPr>
        <w:t>、新材料、生物信息</w:t>
      </w:r>
      <w:r>
        <w:rPr>
          <w:rFonts w:ascii="仿宋_GB2312" w:hAnsi="仿宋_GB2312" w:eastAsia="仿宋_GB2312" w:cs="仿宋_GB2312"/>
          <w:sz w:val="32"/>
          <w:szCs w:val="32"/>
        </w:rPr>
        <w:t>等研究领域，探索学科</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团队和研究中心基础设施的建设思路和建设方法</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引进</w:t>
      </w:r>
      <w:r>
        <w:rPr>
          <w:rFonts w:hint="eastAsia" w:ascii="仿宋_GB2312" w:hAnsi="仿宋_GB2312" w:eastAsia="仿宋_GB2312" w:cs="仿宋_GB2312"/>
          <w:sz w:val="32"/>
          <w:szCs w:val="32"/>
        </w:rPr>
        <w:t>具有</w:t>
      </w:r>
      <w:r>
        <w:rPr>
          <w:rFonts w:ascii="仿宋_GB2312" w:hAnsi="仿宋_GB2312" w:eastAsia="仿宋_GB2312" w:cs="仿宋_GB2312"/>
          <w:sz w:val="32"/>
          <w:szCs w:val="32"/>
        </w:rPr>
        <w:t>国际</w:t>
      </w:r>
      <w:r>
        <w:rPr>
          <w:rFonts w:hint="eastAsia" w:ascii="仿宋_GB2312" w:hAnsi="仿宋_GB2312" w:eastAsia="仿宋_GB2312" w:cs="仿宋_GB2312"/>
          <w:sz w:val="32"/>
          <w:szCs w:val="32"/>
        </w:rPr>
        <w:t>视野和</w:t>
      </w:r>
      <w:r>
        <w:rPr>
          <w:rFonts w:ascii="仿宋_GB2312" w:hAnsi="仿宋_GB2312" w:eastAsia="仿宋_GB2312" w:cs="仿宋_GB2312"/>
          <w:sz w:val="32"/>
          <w:szCs w:val="32"/>
        </w:rPr>
        <w:t>一流</w:t>
      </w:r>
      <w:r>
        <w:rPr>
          <w:rFonts w:hint="eastAsia" w:ascii="仿宋_GB2312" w:hAnsi="仿宋_GB2312" w:eastAsia="仿宋_GB2312" w:cs="仿宋_GB2312"/>
          <w:sz w:val="32"/>
          <w:szCs w:val="32"/>
        </w:rPr>
        <w:t>学术水平的院士学者团队，</w:t>
      </w:r>
      <w:r>
        <w:rPr>
          <w:rFonts w:ascii="仿宋_GB2312" w:hAnsi="仿宋_GB2312" w:eastAsia="仿宋_GB2312" w:cs="仿宋_GB2312"/>
          <w:sz w:val="32"/>
          <w:szCs w:val="32"/>
        </w:rPr>
        <w:t>以人才、资源汇集和体制、机制创新为切入点，构建政产学研深度融合的全开放式创新平台。</w:t>
      </w:r>
    </w:p>
    <w:p>
      <w:pPr>
        <w:spacing w:line="520" w:lineRule="exact"/>
        <w:ind w:firstLine="640" w:firstLineChars="200"/>
        <w:rPr>
          <w:rFonts w:hint="eastAsia" w:ascii="仿宋_GB2312" w:hAnsi="仿宋_GB2312" w:eastAsia="仿宋_GB2312" w:cs="仿宋_GB2312"/>
          <w:sz w:val="32"/>
          <w:szCs w:val="32"/>
        </w:rPr>
      </w:pPr>
      <w:r>
        <w:rPr>
          <w:rFonts w:ascii="Times New Roman" w:hAnsi="Times New Roman" w:eastAsia="仿宋_GB2312"/>
          <w:sz w:val="32"/>
          <w:szCs w:val="32"/>
        </w:rPr>
        <w:t>考核指标：</w:t>
      </w:r>
      <w:r>
        <w:rPr>
          <w:rFonts w:ascii="仿宋_GB2312" w:hAnsi="仿宋_GB2312" w:eastAsia="仿宋_GB2312" w:cs="仿宋_GB2312"/>
          <w:sz w:val="32"/>
          <w:szCs w:val="32"/>
        </w:rPr>
        <w:t>提出具有前瞻性</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先进性</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且满足我省科技和产业发展现状的实验室建设方案</w:t>
      </w:r>
      <w:r>
        <w:rPr>
          <w:rFonts w:hint="eastAsia" w:ascii="仿宋_GB2312" w:hAnsi="仿宋_GB2312" w:eastAsia="仿宋_GB2312" w:cs="仿宋_GB2312"/>
          <w:sz w:val="32"/>
          <w:szCs w:val="32"/>
        </w:rPr>
        <w:t>；引进若干方向的国内外院士或顶尖人才团队；探索建设适用于高水平实验室的管理体制和运行机制；</w:t>
      </w:r>
      <w:r>
        <w:rPr>
          <w:rFonts w:ascii="仿宋_GB2312" w:hAnsi="仿宋_GB2312" w:eastAsia="仿宋_GB2312" w:cs="仿宋_GB2312"/>
          <w:sz w:val="32"/>
          <w:szCs w:val="32"/>
        </w:rPr>
        <w:t>试点建立“人才培养特区”</w:t>
      </w:r>
      <w:r>
        <w:rPr>
          <w:rFonts w:hint="eastAsia" w:ascii="仿宋_GB2312" w:hAnsi="仿宋_GB2312" w:eastAsia="仿宋_GB2312" w:cs="仿宋_GB2312"/>
          <w:sz w:val="32"/>
          <w:szCs w:val="32"/>
        </w:rPr>
        <w:t>，引进</w:t>
      </w:r>
      <w:r>
        <w:rPr>
          <w:rFonts w:ascii="仿宋_GB2312" w:hAnsi="仿宋_GB2312" w:eastAsia="仿宋_GB2312" w:cs="仿宋_GB2312"/>
          <w:sz w:val="32"/>
          <w:szCs w:val="32"/>
        </w:rPr>
        <w:t>培育一批在国内外有重要影响力的杰出人才。</w:t>
      </w:r>
    </w:p>
    <w:p>
      <w:pPr>
        <w:jc w:val="left"/>
        <w:rPr>
          <w:rFonts w:hint="eastAsia" w:ascii="Times New Roman" w:hAnsi="Times New Roman" w:eastAsia="仿宋_GB2312"/>
          <w:sz w:val="32"/>
          <w:szCs w:val="32"/>
        </w:rPr>
      </w:pPr>
    </w:p>
    <w:p>
      <w:pPr>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r>
        <w:rPr>
          <w:rFonts w:hint="eastAsia" w:ascii="Times New Roman" w:hAnsi="Times New Roman" w:eastAsia="仿宋_GB2312"/>
          <w:sz w:val="32"/>
          <w:szCs w:val="32"/>
        </w:rPr>
        <w:t>附件1-2</w:t>
      </w:r>
    </w:p>
    <w:p>
      <w:pPr>
        <w:pStyle w:val="4"/>
        <w:adjustRightInd w:val="0"/>
        <w:snapToGrid w:val="0"/>
        <w:spacing w:line="240" w:lineRule="auto"/>
        <w:ind w:firstLine="0" w:firstLineChars="0"/>
        <w:jc w:val="center"/>
        <w:rPr>
          <w:rFonts w:ascii="方正小标宋简体" w:hAnsi="宋体" w:eastAsia="方正小标宋简体"/>
          <w:sz w:val="36"/>
          <w:szCs w:val="36"/>
        </w:rPr>
      </w:pPr>
      <w:r>
        <w:rPr>
          <w:rFonts w:hint="eastAsia" w:ascii="方正小标宋简体" w:hAnsi="宋体" w:eastAsia="方正小标宋简体"/>
          <w:sz w:val="36"/>
          <w:szCs w:val="36"/>
        </w:rPr>
        <w:t>“湖南光电集成创新研发平台”重大创新</w:t>
      </w:r>
    </w:p>
    <w:p>
      <w:pPr>
        <w:pStyle w:val="4"/>
        <w:adjustRightInd w:val="0"/>
        <w:snapToGrid w:val="0"/>
        <w:spacing w:line="240" w:lineRule="auto"/>
        <w:ind w:firstLine="0" w:firstLineChars="0"/>
        <w:jc w:val="center"/>
        <w:rPr>
          <w:rFonts w:ascii="方正小标宋简体" w:hAnsi="宋体" w:eastAsia="方正小标宋简体"/>
          <w:sz w:val="36"/>
          <w:szCs w:val="36"/>
        </w:rPr>
      </w:pPr>
      <w:r>
        <w:rPr>
          <w:rFonts w:hint="eastAsia" w:ascii="方正小标宋简体" w:hAnsi="宋体" w:eastAsia="方正小标宋简体"/>
          <w:sz w:val="36"/>
          <w:szCs w:val="36"/>
        </w:rPr>
        <w:t>示范工程定向项目申报指南</w:t>
      </w:r>
    </w:p>
    <w:p>
      <w:pPr>
        <w:spacing w:line="360" w:lineRule="auto"/>
        <w:rPr>
          <w:rFonts w:ascii="宋体" w:hAnsi="宋体"/>
          <w:sz w:val="24"/>
        </w:rPr>
      </w:pPr>
    </w:p>
    <w:p>
      <w:pPr>
        <w:widowControl/>
        <w:spacing w:line="58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为了推动</w:t>
      </w:r>
      <w:r>
        <w:rPr>
          <w:rFonts w:ascii="仿宋_GB2312" w:hAnsi="仿宋_GB2312" w:eastAsia="仿宋_GB2312" w:cs="仿宋_GB2312"/>
          <w:sz w:val="32"/>
          <w:szCs w:val="32"/>
        </w:rPr>
        <w:t>我省光电技术产业发展，</w:t>
      </w:r>
      <w:r>
        <w:rPr>
          <w:rFonts w:hint="eastAsia" w:ascii="仿宋_GB2312" w:hAnsi="仿宋_GB2312" w:eastAsia="仿宋_GB2312" w:cs="仿宋_GB2312"/>
          <w:sz w:val="32"/>
          <w:szCs w:val="32"/>
        </w:rPr>
        <w:t>解决</w:t>
      </w:r>
      <w:r>
        <w:rPr>
          <w:rFonts w:ascii="仿宋_GB2312" w:hAnsi="仿宋_GB2312" w:eastAsia="仿宋_GB2312" w:cs="仿宋_GB2312"/>
          <w:sz w:val="32"/>
          <w:szCs w:val="32"/>
        </w:rPr>
        <w:t>产业链上游核心技术研发和下游自主科技产品薄弱和紧缺</w:t>
      </w:r>
      <w:r>
        <w:rPr>
          <w:rFonts w:hint="eastAsia" w:ascii="仿宋_GB2312" w:hAnsi="仿宋_GB2312" w:eastAsia="仿宋_GB2312" w:cs="仿宋_GB2312"/>
          <w:sz w:val="32"/>
          <w:szCs w:val="32"/>
        </w:rPr>
        <w:t>等问题</w:t>
      </w:r>
      <w:r>
        <w:rPr>
          <w:rFonts w:ascii="仿宋_GB2312" w:hAnsi="仿宋_GB2312" w:eastAsia="仿宋_GB2312" w:cs="仿宋_GB2312"/>
          <w:sz w:val="32"/>
          <w:szCs w:val="32"/>
        </w:rPr>
        <w:t>，加快研发新一代光电芯片，</w:t>
      </w:r>
      <w:r>
        <w:rPr>
          <w:rFonts w:hint="eastAsia" w:ascii="仿宋_GB2312" w:hAnsi="仿宋_GB2312" w:eastAsia="仿宋_GB2312" w:cs="仿宋_GB2312"/>
          <w:sz w:val="32"/>
          <w:szCs w:val="32"/>
        </w:rPr>
        <w:t>抢占我省光电集成创新研究制高点，</w:t>
      </w:r>
      <w:r>
        <w:rPr>
          <w:rFonts w:ascii="仿宋_GB2312" w:hAnsi="仿宋_GB2312" w:eastAsia="仿宋_GB2312" w:cs="仿宋_GB2312"/>
          <w:sz w:val="32"/>
          <w:szCs w:val="32"/>
        </w:rPr>
        <w:t>2019年长株潭标志性工程计划中设置“湖南光电集成创新</w:t>
      </w:r>
      <w:r>
        <w:rPr>
          <w:rFonts w:hint="eastAsia" w:ascii="仿宋_GB2312" w:hAnsi="仿宋_GB2312" w:eastAsia="仿宋_GB2312" w:cs="仿宋_GB2312"/>
          <w:sz w:val="32"/>
          <w:szCs w:val="32"/>
        </w:rPr>
        <w:t>研发平台</w:t>
      </w:r>
      <w:r>
        <w:rPr>
          <w:rFonts w:ascii="仿宋_GB2312" w:hAnsi="仿宋_GB2312" w:eastAsia="仿宋_GB2312" w:cs="仿宋_GB2312"/>
          <w:sz w:val="32"/>
          <w:szCs w:val="32"/>
        </w:rPr>
        <w:t>”</w:t>
      </w:r>
      <w:r>
        <w:rPr>
          <w:rFonts w:hint="eastAsia" w:ascii="仿宋_GB2312" w:hAnsi="Times New Roman" w:eastAsia="仿宋_GB2312"/>
          <w:sz w:val="32"/>
          <w:szCs w:val="32"/>
        </w:rPr>
        <w:t>重大创新示范工程定向支持</w:t>
      </w:r>
      <w:r>
        <w:rPr>
          <w:rFonts w:hint="eastAsia" w:ascii="仿宋_GB2312" w:hAnsi="仿宋_GB2312" w:eastAsia="仿宋_GB2312" w:cs="仿宋_GB2312"/>
          <w:sz w:val="32"/>
          <w:szCs w:val="32"/>
        </w:rPr>
        <w:t>项目，</w:t>
      </w:r>
      <w:r>
        <w:rPr>
          <w:rFonts w:ascii="仿宋_GB2312" w:hAnsi="仿宋_GB2312" w:eastAsia="仿宋_GB2312" w:cs="仿宋_GB2312"/>
          <w:sz w:val="32"/>
          <w:szCs w:val="32"/>
        </w:rPr>
        <w:t>支持在我省</w:t>
      </w:r>
      <w:r>
        <w:rPr>
          <w:rFonts w:hint="eastAsia" w:ascii="仿宋_GB2312" w:hAnsi="仿宋_GB2312" w:eastAsia="仿宋_GB2312" w:cs="仿宋_GB2312"/>
          <w:sz w:val="32"/>
          <w:szCs w:val="32"/>
        </w:rPr>
        <w:t>建设</w:t>
      </w:r>
      <w:r>
        <w:rPr>
          <w:rFonts w:ascii="仿宋_GB2312" w:hAnsi="仿宋_GB2312" w:eastAsia="仿宋_GB2312" w:cs="仿宋_GB2312"/>
          <w:sz w:val="32"/>
          <w:szCs w:val="32"/>
        </w:rPr>
        <w:t>新型光电集成和光电芯片技术研发创新平台，</w:t>
      </w:r>
      <w:r>
        <w:rPr>
          <w:rFonts w:hint="eastAsia" w:ascii="仿宋_GB2312" w:hAnsi="仿宋_GB2312" w:eastAsia="仿宋_GB2312" w:cs="仿宋_GB2312"/>
          <w:sz w:val="32"/>
          <w:szCs w:val="32"/>
        </w:rPr>
        <w:t>推动</w:t>
      </w:r>
      <w:r>
        <w:rPr>
          <w:rFonts w:ascii="仿宋_GB2312" w:hAnsi="仿宋_GB2312" w:eastAsia="仿宋_GB2312" w:cs="仿宋_GB2312"/>
          <w:sz w:val="32"/>
          <w:szCs w:val="32"/>
        </w:rPr>
        <w:t xml:space="preserve">新一代信息技术产业持续发展。 </w:t>
      </w:r>
    </w:p>
    <w:p>
      <w:pPr>
        <w:spacing w:line="580" w:lineRule="exact"/>
        <w:ind w:firstLine="640" w:firstLineChars="200"/>
        <w:jc w:val="left"/>
        <w:rPr>
          <w:rFonts w:ascii="仿宋_GB2312" w:hAnsi="黑体" w:eastAsia="仿宋_GB2312" w:cs="黑体"/>
          <w:bCs/>
          <w:color w:val="FF0000"/>
          <w:sz w:val="32"/>
          <w:szCs w:val="32"/>
        </w:rPr>
      </w:pPr>
      <w:r>
        <w:rPr>
          <w:rFonts w:hint="eastAsia" w:ascii="仿宋_GB2312" w:hAnsi="仿宋_GB2312" w:eastAsia="仿宋_GB2312" w:cs="仿宋_GB2312"/>
          <w:sz w:val="32"/>
          <w:szCs w:val="32"/>
        </w:rPr>
        <w:t>本项目执行期3年，应整体申报，须覆盖指南规定的全部建设内容和考核指标。具体指南如下：</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建设内容：创建湖南光电集成研究中心，对接新型低维半导体结构和信息器件、硅基激光和光电芯片、超精密光电系统等光电材料和技术装备的研发和引进任务；从英国、德国和美国等发达国家优势院所引进光电集成研发顶级团队和优秀科技专家；通过平台的建设与运营，推动我省新一代信息技术和相关产业的发展。</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考核指标：挂牌成立“湖南光电集成研究中心”新型研发机构；引进国际顶级光电集成核心技术研发团队，培养一批优秀科技人才；实现系列新型低维光电材料可控生长和集成器件制备和集成工艺；引进并实现硅基量子点光源及光电集成核心芯片技术在湖南落地；开展突破激光诱导击穿光谱检测系统等系列光电精密技术研发，性能指标达到现有离线检测技术国标标准水平并初步实现相关领域的产业化；产出一批核心技术发明专利和具有国际影响力的原创论文成果。</w:t>
      </w: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r>
        <w:rPr>
          <w:rFonts w:hint="eastAsia" w:ascii="Times New Roman" w:hAnsi="Times New Roman" w:eastAsia="仿宋_GB2312"/>
          <w:sz w:val="32"/>
          <w:szCs w:val="32"/>
        </w:rPr>
        <w:t>附件1-3</w:t>
      </w:r>
    </w:p>
    <w:p>
      <w:pPr>
        <w:pStyle w:val="4"/>
        <w:adjustRightInd w:val="0"/>
        <w:snapToGrid w:val="0"/>
        <w:spacing w:line="240" w:lineRule="auto"/>
        <w:ind w:firstLine="0" w:firstLineChars="0"/>
        <w:jc w:val="center"/>
        <w:rPr>
          <w:rFonts w:hint="eastAsia" w:ascii="方正小标宋简体" w:eastAsia="方正小标宋简体"/>
          <w:sz w:val="36"/>
          <w:szCs w:val="36"/>
        </w:rPr>
      </w:pPr>
      <w:r>
        <w:rPr>
          <w:rFonts w:hint="eastAsia" w:ascii="方正小标宋简体" w:eastAsia="方正小标宋简体"/>
          <w:sz w:val="36"/>
          <w:szCs w:val="36"/>
        </w:rPr>
        <w:t>“木本油料协同创新中心培育”重大创新</w:t>
      </w:r>
    </w:p>
    <w:p>
      <w:pPr>
        <w:pStyle w:val="4"/>
        <w:adjustRightInd w:val="0"/>
        <w:snapToGrid w:val="0"/>
        <w:spacing w:line="240" w:lineRule="auto"/>
        <w:ind w:firstLine="0" w:firstLineChars="0"/>
        <w:jc w:val="center"/>
        <w:rPr>
          <w:rFonts w:hint="eastAsia" w:ascii="方正小标宋简体" w:eastAsia="方正小标宋简体"/>
          <w:sz w:val="36"/>
          <w:szCs w:val="36"/>
        </w:rPr>
      </w:pPr>
      <w:r>
        <w:rPr>
          <w:rFonts w:hint="eastAsia" w:ascii="方正小标宋简体" w:eastAsia="方正小标宋简体"/>
          <w:sz w:val="36"/>
          <w:szCs w:val="36"/>
        </w:rPr>
        <w:t>示范工程定向项目申报指南</w:t>
      </w:r>
    </w:p>
    <w:p>
      <w:pPr>
        <w:spacing w:line="360" w:lineRule="auto"/>
        <w:rPr>
          <w:rFonts w:ascii="Times New Roman" w:hAnsi="Times New Roman"/>
          <w:b/>
        </w:rPr>
      </w:pPr>
    </w:p>
    <w:p>
      <w:pPr>
        <w:spacing w:line="52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为</w:t>
      </w:r>
      <w:r>
        <w:rPr>
          <w:rFonts w:hint="eastAsia" w:ascii="仿宋_GB2312" w:hAnsi="仿宋_GB2312" w:eastAsia="仿宋_GB2312" w:cs="仿宋_GB2312"/>
          <w:sz w:val="32"/>
          <w:szCs w:val="32"/>
        </w:rPr>
        <w:t>了落实年度部省会商精神，提升我国木本油料技术创新水平和油脂供应能力，破解食用油脂对外依存度高的风险，</w:t>
      </w:r>
      <w:r>
        <w:rPr>
          <w:rFonts w:ascii="仿宋_GB2312" w:hAnsi="仿宋_GB2312" w:eastAsia="仿宋_GB2312" w:cs="仿宋_GB2312"/>
          <w:sz w:val="32"/>
          <w:szCs w:val="32"/>
        </w:rPr>
        <w:t>2019年长株潭标志性工程计划中设置“木本油料协同创新中心培育”重大创新示范工程定向支持项目</w:t>
      </w:r>
      <w:r>
        <w:rPr>
          <w:rFonts w:hint="eastAsia" w:ascii="仿宋_GB2312" w:hAnsi="仿宋_GB2312" w:eastAsia="仿宋_GB2312" w:cs="仿宋_GB2312"/>
          <w:sz w:val="32"/>
          <w:szCs w:val="32"/>
        </w:rPr>
        <w:t>，围绕</w:t>
      </w:r>
      <w:r>
        <w:rPr>
          <w:rFonts w:ascii="仿宋_GB2312" w:hAnsi="仿宋_GB2312" w:eastAsia="仿宋_GB2312" w:cs="仿宋_GB2312"/>
          <w:sz w:val="32"/>
          <w:szCs w:val="32"/>
        </w:rPr>
        <w:t>“省部共建木本油料资源利用国家重点实验室”建设任务</w:t>
      </w:r>
      <w:r>
        <w:rPr>
          <w:rFonts w:hint="eastAsia" w:ascii="仿宋_GB2312" w:hAnsi="仿宋_GB2312" w:eastAsia="仿宋_GB2312" w:cs="仿宋_GB2312"/>
          <w:sz w:val="32"/>
          <w:szCs w:val="32"/>
        </w:rPr>
        <w:t>，提高木本油料产业深加工水平和能力，促进产业链延升，支撑我省木本油料千亿产业健康可持续发展。</w:t>
      </w:r>
    </w:p>
    <w:p>
      <w:pPr>
        <w:spacing w:line="52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本项目执行期3年，应整体申报，须覆盖相应指南研究方向的全部考核指标。具体指南内容如下：</w:t>
      </w:r>
    </w:p>
    <w:p>
      <w:pPr>
        <w:spacing w:line="520" w:lineRule="exact"/>
        <w:ind w:firstLine="640" w:firstLineChars="200"/>
        <w:rPr>
          <w:rFonts w:ascii="仿宋_GB2312" w:hAnsi="Times New Roman" w:eastAsia="仿宋_GB2312"/>
          <w:sz w:val="32"/>
          <w:szCs w:val="32"/>
        </w:rPr>
      </w:pPr>
      <w:r>
        <w:rPr>
          <w:rFonts w:ascii="仿宋_GB2312" w:hAnsi="Times New Roman" w:eastAsia="仿宋_GB2312"/>
          <w:sz w:val="32"/>
          <w:szCs w:val="32"/>
        </w:rPr>
        <w:t>建设内容：攻克</w:t>
      </w:r>
      <w:r>
        <w:rPr>
          <w:rFonts w:hint="eastAsia" w:ascii="仿宋_GB2312" w:hAnsi="Times New Roman" w:eastAsia="仿宋_GB2312"/>
          <w:sz w:val="32"/>
          <w:szCs w:val="32"/>
        </w:rPr>
        <w:t>产业</w:t>
      </w:r>
      <w:r>
        <w:rPr>
          <w:rFonts w:ascii="仿宋_GB2312" w:hAnsi="Times New Roman" w:eastAsia="仿宋_GB2312"/>
          <w:sz w:val="32"/>
          <w:szCs w:val="32"/>
        </w:rPr>
        <w:t>关键技术瓶颈和共性难题，</w:t>
      </w:r>
      <w:r>
        <w:rPr>
          <w:rFonts w:hint="eastAsia" w:ascii="仿宋_GB2312" w:hAnsi="Times New Roman" w:eastAsia="仿宋_GB2312"/>
          <w:sz w:val="32"/>
          <w:szCs w:val="32"/>
        </w:rPr>
        <w:t>提高木本油料产业深加工水平和能力，拓展产业链条，有效</w:t>
      </w:r>
      <w:r>
        <w:rPr>
          <w:rFonts w:ascii="仿宋_GB2312" w:hAnsi="Times New Roman" w:eastAsia="仿宋_GB2312"/>
          <w:sz w:val="32"/>
          <w:szCs w:val="32"/>
        </w:rPr>
        <w:t>支撑木本油料产业进入全球油脂产业的中高端价值链</w:t>
      </w:r>
      <w:r>
        <w:rPr>
          <w:rFonts w:hint="eastAsia" w:ascii="仿宋_GB2312" w:hAnsi="Times New Roman" w:eastAsia="仿宋_GB2312"/>
          <w:sz w:val="32"/>
          <w:szCs w:val="32"/>
        </w:rPr>
        <w:t>；探索</w:t>
      </w:r>
      <w:r>
        <w:rPr>
          <w:rFonts w:ascii="仿宋_GB2312" w:hAnsi="Times New Roman" w:eastAsia="仿宋_GB2312"/>
          <w:sz w:val="32"/>
          <w:szCs w:val="32"/>
        </w:rPr>
        <w:t>机制创新</w:t>
      </w:r>
      <w:r>
        <w:rPr>
          <w:rFonts w:hint="eastAsia" w:ascii="仿宋_GB2312" w:hAnsi="Times New Roman" w:eastAsia="仿宋_GB2312"/>
          <w:sz w:val="32"/>
          <w:szCs w:val="32"/>
        </w:rPr>
        <w:t>，</w:t>
      </w:r>
      <w:r>
        <w:rPr>
          <w:rFonts w:ascii="仿宋_GB2312" w:hAnsi="Times New Roman" w:eastAsia="仿宋_GB2312"/>
          <w:sz w:val="32"/>
          <w:szCs w:val="32"/>
        </w:rPr>
        <w:t>实现人才、优势平台、政府、企业以及土地等要素资源的虹吸</w:t>
      </w:r>
      <w:r>
        <w:rPr>
          <w:rFonts w:hint="eastAsia" w:ascii="仿宋_GB2312" w:hAnsi="Times New Roman" w:eastAsia="仿宋_GB2312"/>
          <w:sz w:val="32"/>
          <w:szCs w:val="32"/>
        </w:rPr>
        <w:t>效应，吸引并凝聚一批</w:t>
      </w:r>
      <w:r>
        <w:rPr>
          <w:rFonts w:ascii="仿宋_GB2312" w:hAnsi="Times New Roman" w:eastAsia="仿宋_GB2312"/>
          <w:sz w:val="32"/>
          <w:szCs w:val="32"/>
        </w:rPr>
        <w:t>高端</w:t>
      </w:r>
      <w:r>
        <w:rPr>
          <w:rFonts w:hint="eastAsia" w:ascii="仿宋_GB2312" w:hAnsi="Times New Roman" w:eastAsia="仿宋_GB2312"/>
          <w:sz w:val="32"/>
          <w:szCs w:val="32"/>
        </w:rPr>
        <w:t>专业</w:t>
      </w:r>
      <w:r>
        <w:rPr>
          <w:rFonts w:ascii="仿宋_GB2312" w:hAnsi="Times New Roman" w:eastAsia="仿宋_GB2312"/>
          <w:sz w:val="32"/>
          <w:szCs w:val="32"/>
        </w:rPr>
        <w:t>人才</w:t>
      </w:r>
      <w:r>
        <w:rPr>
          <w:rFonts w:hint="eastAsia" w:ascii="仿宋_GB2312" w:hAnsi="Times New Roman" w:eastAsia="仿宋_GB2312"/>
          <w:sz w:val="32"/>
          <w:szCs w:val="32"/>
        </w:rPr>
        <w:t>服务木本油料产业。</w:t>
      </w:r>
    </w:p>
    <w:p>
      <w:pPr>
        <w:spacing w:line="520" w:lineRule="exact"/>
        <w:ind w:firstLine="640" w:firstLineChars="200"/>
        <w:rPr>
          <w:rFonts w:ascii="仿宋_GB2312" w:hAnsi="Times New Roman" w:eastAsia="仿宋_GB2312"/>
          <w:sz w:val="32"/>
          <w:szCs w:val="32"/>
        </w:rPr>
      </w:pPr>
      <w:r>
        <w:rPr>
          <w:rFonts w:ascii="仿宋_GB2312" w:hAnsi="Times New Roman" w:eastAsia="仿宋_GB2312"/>
          <w:sz w:val="32"/>
          <w:szCs w:val="32"/>
        </w:rPr>
        <w:t>考核指标：组建</w:t>
      </w:r>
      <w:r>
        <w:rPr>
          <w:rFonts w:hint="eastAsia" w:ascii="仿宋_GB2312" w:hAnsi="Times New Roman" w:eastAsia="仿宋_GB2312"/>
          <w:sz w:val="32"/>
          <w:szCs w:val="32"/>
        </w:rPr>
        <w:t>科研院所、高校、企业联合实验室，探索建立高效运行的新型研发机构、体制机制</w:t>
      </w:r>
      <w:r>
        <w:rPr>
          <w:rFonts w:ascii="仿宋_GB2312" w:hAnsi="Times New Roman" w:eastAsia="仿宋_GB2312"/>
          <w:sz w:val="32"/>
          <w:szCs w:val="32"/>
        </w:rPr>
        <w:t>；组建</w:t>
      </w:r>
      <w:r>
        <w:rPr>
          <w:rFonts w:hint="eastAsia" w:ascii="仿宋_GB2312" w:hAnsi="Times New Roman" w:eastAsia="仿宋_GB2312"/>
          <w:sz w:val="32"/>
          <w:szCs w:val="32"/>
        </w:rPr>
        <w:t>全产链</w:t>
      </w:r>
      <w:r>
        <w:rPr>
          <w:rFonts w:ascii="仿宋_GB2312" w:hAnsi="Times New Roman" w:eastAsia="仿宋_GB2312"/>
          <w:sz w:val="32"/>
          <w:szCs w:val="32"/>
        </w:rPr>
        <w:t>木本油料核心创新团队</w:t>
      </w:r>
      <w:r>
        <w:rPr>
          <w:rFonts w:hint="eastAsia" w:ascii="仿宋_GB2312" w:hAnsi="Times New Roman" w:eastAsia="仿宋_GB2312"/>
          <w:sz w:val="32"/>
          <w:szCs w:val="32"/>
        </w:rPr>
        <w:t>；</w:t>
      </w:r>
      <w:r>
        <w:rPr>
          <w:rFonts w:ascii="仿宋_GB2312" w:hAnsi="Times New Roman" w:eastAsia="仿宋_GB2312"/>
          <w:sz w:val="32"/>
          <w:szCs w:val="32"/>
        </w:rPr>
        <w:t>引进</w:t>
      </w:r>
      <w:r>
        <w:rPr>
          <w:rFonts w:hint="eastAsia" w:ascii="仿宋_GB2312" w:hAnsi="Times New Roman" w:eastAsia="仿宋_GB2312"/>
          <w:sz w:val="32"/>
          <w:szCs w:val="32"/>
        </w:rPr>
        <w:t>一批高层次</w:t>
      </w:r>
      <w:r>
        <w:rPr>
          <w:rFonts w:ascii="仿宋_GB2312" w:hAnsi="Times New Roman" w:eastAsia="仿宋_GB2312"/>
          <w:sz w:val="32"/>
          <w:szCs w:val="32"/>
        </w:rPr>
        <w:t>人才；攻克一批关键技术和共性难题，</w:t>
      </w:r>
      <w:r>
        <w:rPr>
          <w:rFonts w:hint="eastAsia" w:ascii="仿宋_GB2312" w:hAnsi="Times New Roman" w:eastAsia="仿宋_GB2312"/>
          <w:sz w:val="32"/>
          <w:szCs w:val="32"/>
        </w:rPr>
        <w:t>产出一批</w:t>
      </w:r>
      <w:r>
        <w:rPr>
          <w:rFonts w:hint="eastAsia" w:ascii="仿宋_GB2312" w:hAnsi="仿宋_GB2312" w:eastAsia="仿宋_GB2312" w:cs="仿宋_GB2312"/>
          <w:sz w:val="32"/>
          <w:szCs w:val="32"/>
        </w:rPr>
        <w:t>核心技术发明</w:t>
      </w:r>
      <w:r>
        <w:rPr>
          <w:rFonts w:hint="eastAsia" w:ascii="仿宋_GB2312" w:hAnsi="Times New Roman" w:eastAsia="仿宋_GB2312"/>
          <w:sz w:val="32"/>
          <w:szCs w:val="32"/>
        </w:rPr>
        <w:t>专利；</w:t>
      </w:r>
      <w:r>
        <w:rPr>
          <w:rFonts w:ascii="仿宋_GB2312" w:hAnsi="Times New Roman" w:eastAsia="仿宋_GB2312"/>
          <w:sz w:val="32"/>
          <w:szCs w:val="32"/>
        </w:rPr>
        <w:t>实现木本油料资源增值</w:t>
      </w:r>
      <w:r>
        <w:rPr>
          <w:rFonts w:hint="eastAsia" w:ascii="仿宋_GB2312" w:hAnsi="Times New Roman" w:eastAsia="仿宋_GB2312"/>
          <w:sz w:val="32"/>
          <w:szCs w:val="32"/>
        </w:rPr>
        <w:t>。</w:t>
      </w: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r>
        <w:rPr>
          <w:rFonts w:hint="eastAsia" w:ascii="Times New Roman" w:hAnsi="Times New Roman" w:eastAsia="仿宋_GB2312"/>
          <w:sz w:val="32"/>
          <w:szCs w:val="32"/>
        </w:rPr>
        <w:t>附件1-4</w:t>
      </w:r>
    </w:p>
    <w:p>
      <w:pPr>
        <w:rPr>
          <w:rFonts w:cs="Calibri"/>
        </w:rPr>
      </w:pPr>
    </w:p>
    <w:p>
      <w:pPr>
        <w:pStyle w:val="4"/>
        <w:adjustRightInd w:val="0"/>
        <w:snapToGrid w:val="0"/>
        <w:spacing w:line="240" w:lineRule="auto"/>
        <w:ind w:firstLine="0" w:firstLineChars="0"/>
        <w:jc w:val="center"/>
        <w:rPr>
          <w:rFonts w:ascii="方正小标宋简体" w:hAnsi="宋体" w:eastAsia="方正小标宋简体"/>
          <w:sz w:val="36"/>
          <w:szCs w:val="36"/>
        </w:rPr>
      </w:pPr>
      <w:r>
        <w:rPr>
          <w:rFonts w:hint="eastAsia" w:ascii="方正小标宋简体" w:hAnsi="宋体" w:eastAsia="方正小标宋简体"/>
          <w:sz w:val="36"/>
          <w:szCs w:val="36"/>
        </w:rPr>
        <w:t xml:space="preserve"> “中小型航空发动机研发服务平台”重大创新</w:t>
      </w:r>
    </w:p>
    <w:p>
      <w:pPr>
        <w:pStyle w:val="4"/>
        <w:adjustRightInd w:val="0"/>
        <w:snapToGrid w:val="0"/>
        <w:spacing w:line="240" w:lineRule="auto"/>
        <w:ind w:firstLine="0" w:firstLineChars="0"/>
        <w:jc w:val="center"/>
        <w:rPr>
          <w:rFonts w:ascii="方正小标宋简体" w:hAnsi="宋体" w:eastAsia="方正小标宋简体"/>
          <w:sz w:val="36"/>
          <w:szCs w:val="36"/>
        </w:rPr>
      </w:pPr>
      <w:r>
        <w:rPr>
          <w:rFonts w:hint="eastAsia" w:ascii="方正小标宋简体" w:hAnsi="宋体" w:eastAsia="方正小标宋简体"/>
          <w:sz w:val="36"/>
          <w:szCs w:val="36"/>
        </w:rPr>
        <w:t>示范工程定向项目申报指南</w:t>
      </w:r>
    </w:p>
    <w:p>
      <w:pPr>
        <w:pStyle w:val="4"/>
        <w:adjustRightInd w:val="0"/>
        <w:snapToGrid w:val="0"/>
        <w:spacing w:line="240" w:lineRule="auto"/>
        <w:ind w:firstLine="0" w:firstLineChars="0"/>
        <w:jc w:val="center"/>
        <w:rPr>
          <w:rFonts w:ascii="方正小标宋简体" w:hAnsi="宋体" w:eastAsia="方正小标宋简体"/>
          <w:sz w:val="36"/>
          <w:szCs w:val="36"/>
        </w:rPr>
      </w:pPr>
    </w:p>
    <w:p>
      <w:pPr>
        <w:spacing w:line="580" w:lineRule="exact"/>
        <w:ind w:firstLine="640" w:firstLineChars="200"/>
        <w:jc w:val="left"/>
        <w:rPr>
          <w:rFonts w:ascii="仿宋_GB2312" w:eastAsia="仿宋_GB2312"/>
          <w:sz w:val="32"/>
          <w:szCs w:val="32"/>
        </w:rPr>
      </w:pPr>
      <w:r>
        <w:rPr>
          <w:rFonts w:hint="eastAsia" w:ascii="仿宋_GB2312" w:eastAsia="仿宋_GB2312"/>
          <w:sz w:val="32"/>
          <w:szCs w:val="32"/>
        </w:rPr>
        <w:t>为加快制造强省建设，促进中国动力谷快速发展，壮大航空发动机产业集群，2019年长株潭标志性工程计划中设置“中小型航空发动机研发服务平台”重大创新示范工程定向支持项目，配套国家“两机”重大专项实施，支持开展先进涡轴/涡桨发动机研发、国内外技术合作、民机适航管理、产品展示、客户服务、保障培训等方面的建设，逐步增强军用和民用涡轴/涡桨发动机协同、融合发展能力，为民用和通用航空产业发展夯实基础。</w:t>
      </w:r>
    </w:p>
    <w:p>
      <w:pPr>
        <w:spacing w:line="580" w:lineRule="exact"/>
        <w:ind w:firstLine="640" w:firstLineChars="200"/>
        <w:jc w:val="left"/>
        <w:rPr>
          <w:rFonts w:ascii="仿宋_GB2312" w:eastAsia="仿宋_GB2312"/>
          <w:sz w:val="32"/>
          <w:szCs w:val="32"/>
        </w:rPr>
      </w:pPr>
      <w:r>
        <w:rPr>
          <w:rFonts w:hint="eastAsia" w:ascii="仿宋_GB2312" w:eastAsia="仿宋_GB2312"/>
          <w:sz w:val="32"/>
          <w:szCs w:val="32"/>
        </w:rPr>
        <w:t>本项目执行期3年，为保证进度，鼓励产学研用联合申报，项目牵头单位有义务推动建设成果向促进航空发动机产业发展方向转化应用。项目应整体申报，须覆盖指南规定的全部建设内容和考核指标。  具体指南内容如下：</w:t>
      </w:r>
    </w:p>
    <w:p>
      <w:pPr>
        <w:spacing w:line="580" w:lineRule="exact"/>
        <w:ind w:firstLine="640" w:firstLineChars="200"/>
        <w:jc w:val="left"/>
        <w:rPr>
          <w:rFonts w:ascii="仿宋_GB2312" w:eastAsia="仿宋_GB2312"/>
          <w:sz w:val="32"/>
          <w:szCs w:val="32"/>
        </w:rPr>
      </w:pPr>
      <w:r>
        <w:rPr>
          <w:rFonts w:hint="eastAsia" w:ascii="仿宋_GB2312" w:eastAsia="仿宋_GB2312"/>
          <w:sz w:val="32"/>
          <w:szCs w:val="32"/>
        </w:rPr>
        <w:t>建设内容：与国家“两机”重大专项配套，建设高性能计算平台/中心、国内外技术交流中心、民机适航工程管理研究中心、航空发动机健康数据管理中心、客户服务中心、航空发动机保障培训中心和产品展示中心等分中心；构建先进涡轴/涡桨发动机计算分析和仿真设计、合作研发、中国民航适航审查和技术交流、投入市场航空发动机健康状态监测、用户培训、研发能力与研发成果展示等能力。</w:t>
      </w:r>
    </w:p>
    <w:p>
      <w:pPr>
        <w:spacing w:line="580" w:lineRule="exact"/>
        <w:ind w:firstLine="640" w:firstLineChars="200"/>
        <w:jc w:val="left"/>
        <w:rPr>
          <w:rFonts w:ascii="仿宋_GB2312" w:eastAsia="仿宋_GB2312"/>
          <w:sz w:val="32"/>
          <w:szCs w:val="32"/>
        </w:rPr>
      </w:pPr>
      <w:r>
        <w:rPr>
          <w:rFonts w:hint="eastAsia" w:ascii="仿宋_GB2312" w:eastAsia="仿宋_GB2312"/>
          <w:sz w:val="32"/>
          <w:szCs w:val="32"/>
        </w:rPr>
        <w:t>考核指标：建成中小型航空发动机研发服务平台，技术交流中心具备并行开展国际和国内科技合作交流及联合研发条件，建成高性能计算平台并对外开放共享使用，引进和培育一批高层次专业技术人才，</w:t>
      </w:r>
      <w:r>
        <w:rPr>
          <w:rFonts w:hint="eastAsia" w:ascii="仿宋_GB2312" w:hAnsi="仿宋_GB2312" w:eastAsia="仿宋_GB2312" w:cs="仿宋_GB2312"/>
          <w:sz w:val="32"/>
          <w:szCs w:val="32"/>
        </w:rPr>
        <w:t>产出一批核心技术发明专利</w:t>
      </w:r>
      <w:r>
        <w:rPr>
          <w:rFonts w:hint="eastAsia" w:ascii="仿宋_GB2312" w:eastAsia="仿宋_GB2312"/>
          <w:sz w:val="32"/>
          <w:szCs w:val="32"/>
        </w:rPr>
        <w:t>；建设产品展示中心、健康数据管理中心和民机适航工程管理中心并投入运行，补全航空动力产业链，基本建成中小型航空发动机军民融合发展示范基地。</w:t>
      </w: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r>
        <w:rPr>
          <w:rFonts w:hint="eastAsia" w:ascii="Times New Roman" w:hAnsi="Times New Roman" w:eastAsia="仿宋_GB2312"/>
          <w:sz w:val="32"/>
          <w:szCs w:val="32"/>
        </w:rPr>
        <w:t>附件1-5</w:t>
      </w:r>
    </w:p>
    <w:p>
      <w:pPr>
        <w:adjustRightInd w:val="0"/>
        <w:snapToGrid w:val="0"/>
        <w:jc w:val="center"/>
        <w:rPr>
          <w:rFonts w:hint="eastAsia" w:ascii="方正小标宋简体" w:hAnsi="宋体" w:eastAsia="方正小标宋简体"/>
          <w:sz w:val="36"/>
          <w:szCs w:val="36"/>
        </w:rPr>
      </w:pPr>
    </w:p>
    <w:p>
      <w:pPr>
        <w:adjustRightInd w:val="0"/>
        <w:snapToGrid w:val="0"/>
        <w:jc w:val="center"/>
        <w:rPr>
          <w:rFonts w:hint="eastAsia" w:ascii="方正小标宋简体" w:hAnsi="宋体" w:eastAsia="方正小标宋简体"/>
          <w:sz w:val="36"/>
          <w:szCs w:val="36"/>
        </w:rPr>
      </w:pPr>
      <w:r>
        <w:rPr>
          <w:rFonts w:hint="eastAsia" w:ascii="方正小标宋简体" w:hAnsi="宋体" w:eastAsia="方正小标宋简体"/>
          <w:sz w:val="36"/>
          <w:szCs w:val="36"/>
        </w:rPr>
        <w:t>“XX军民融合协同创新”定向项目申报指南</w:t>
      </w:r>
    </w:p>
    <w:p>
      <w:pPr>
        <w:rPr>
          <w:rFonts w:ascii="Times New Roman" w:hAnsi="Times New Roman" w:eastAsia="仿宋_GB2312"/>
          <w:sz w:val="32"/>
          <w:szCs w:val="32"/>
        </w:rPr>
      </w:pPr>
    </w:p>
    <w:p>
      <w:pPr>
        <w:spacing w:line="58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内容略。</w:t>
      </w: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bookmarkStart w:id="0" w:name="_GoBack"/>
      <w:bookmarkEnd w:id="0"/>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r>
        <w:rPr>
          <w:rFonts w:hint="eastAsia" w:ascii="Times New Roman" w:hAnsi="Times New Roman" w:eastAsia="仿宋_GB2312"/>
          <w:sz w:val="32"/>
          <w:szCs w:val="32"/>
        </w:rPr>
        <w:t>附件1-6</w:t>
      </w:r>
    </w:p>
    <w:p>
      <w:pPr>
        <w:rPr>
          <w:rFonts w:cs="Calibri"/>
        </w:rPr>
      </w:pPr>
    </w:p>
    <w:p>
      <w:pPr>
        <w:adjustRightInd w:val="0"/>
        <w:snapToGrid w:val="0"/>
        <w:jc w:val="center"/>
        <w:rPr>
          <w:rFonts w:hint="eastAsia" w:ascii="方正小标宋简体" w:hAnsi="宋体" w:eastAsia="方正小标宋简体"/>
          <w:sz w:val="36"/>
          <w:szCs w:val="36"/>
        </w:rPr>
      </w:pPr>
      <w:r>
        <w:rPr>
          <w:rFonts w:hint="eastAsia" w:ascii="方正小标宋简体" w:hAnsi="宋体" w:eastAsia="方正小标宋简体"/>
          <w:sz w:val="36"/>
          <w:szCs w:val="36"/>
        </w:rPr>
        <w:t>“XXX军民融合协同创新”定向项目申报指南</w:t>
      </w:r>
    </w:p>
    <w:p>
      <w:pPr>
        <w:pStyle w:val="4"/>
        <w:adjustRightInd w:val="0"/>
        <w:snapToGrid w:val="0"/>
        <w:spacing w:line="240" w:lineRule="auto"/>
        <w:ind w:firstLine="0" w:firstLineChars="0"/>
        <w:jc w:val="center"/>
        <w:rPr>
          <w:rFonts w:ascii="方正小标宋简体" w:hAnsi="宋体" w:eastAsia="方正小标宋简体"/>
          <w:sz w:val="36"/>
          <w:szCs w:val="36"/>
        </w:rPr>
      </w:pPr>
    </w:p>
    <w:p>
      <w:pPr>
        <w:spacing w:line="58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内容略。</w:t>
      </w: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pPr>
        <w:widowControl/>
        <w:spacing w:line="600" w:lineRule="exact"/>
        <w:jc w:val="left"/>
        <w:rPr>
          <w:rFonts w:hint="eastAsia" w:ascii="Times New Roman" w:hAnsi="Times New Roman" w:eastAsia="仿宋_GB2312"/>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385C9F"/>
    <w:rsid w:val="271272EE"/>
    <w:rsid w:val="7B385C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paragraph" w:customStyle="1" w:styleId="4">
    <w:name w:val="ZF正文"/>
    <w:basedOn w:val="1"/>
    <w:qFormat/>
    <w:uiPriority w:val="0"/>
    <w:pPr>
      <w:spacing w:line="540" w:lineRule="exact"/>
      <w:ind w:firstLine="200" w:firstLineChars="200"/>
    </w:pPr>
    <w:rPr>
      <w:rFonts w:ascii="Times New Roman" w:hAnsi="Times New Roman" w:eastAsia="仿宋_GB2312"/>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2019-05-31T10:29:00Z</dcterms:created>
  <dc:creator>欣儿</dc:creator>
  <cp:lastModifiedBy>欣儿</cp:lastModifiedBy>
  <dcterms:modified xsi:type="dcterms:W3CDTF">2019-05-31T10:31:56Z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